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B597" w14:textId="56E9614D" w:rsidR="009B1A41" w:rsidRPr="002B1927" w:rsidRDefault="00B06676" w:rsidP="00DD0F1B">
      <w:pPr>
        <w:pStyle w:val="BodyText2"/>
        <w:ind w:right="11"/>
        <w:jc w:val="center"/>
        <w:rPr>
          <w:sz w:val="32"/>
          <w:szCs w:val="32"/>
          <w:lang w:val="sl-SI"/>
        </w:rPr>
      </w:pPr>
      <w:r w:rsidRPr="002B1927">
        <w:rPr>
          <w:sz w:val="32"/>
          <w:szCs w:val="32"/>
          <w:lang w:val="sl-SI"/>
        </w:rPr>
        <w:t xml:space="preserve">Razlike med spoloma v ekonomski odvisnosti </w:t>
      </w:r>
      <w:r w:rsidR="002B1927" w:rsidRPr="002B1927">
        <w:rPr>
          <w:sz w:val="32"/>
          <w:szCs w:val="32"/>
          <w:lang w:val="sl-SI"/>
        </w:rPr>
        <w:t>v obdobju 2000–2012</w:t>
      </w:r>
    </w:p>
    <w:p w14:paraId="69709147" w14:textId="3E1AEAC0" w:rsidR="002659E5" w:rsidRPr="002B1927" w:rsidRDefault="002659E5" w:rsidP="00DD0F1B">
      <w:pPr>
        <w:pStyle w:val="BodyText2"/>
        <w:ind w:right="11"/>
        <w:jc w:val="center"/>
        <w:rPr>
          <w:sz w:val="32"/>
          <w:szCs w:val="32"/>
          <w:lang w:val="en-GB"/>
        </w:rPr>
      </w:pPr>
      <w:r w:rsidRPr="002B1927">
        <w:rPr>
          <w:sz w:val="32"/>
          <w:szCs w:val="32"/>
          <w:lang w:val="en-GB"/>
        </w:rPr>
        <w:t xml:space="preserve">(The </w:t>
      </w:r>
      <w:r w:rsidR="00B06676" w:rsidRPr="002B1927">
        <w:rPr>
          <w:sz w:val="32"/>
          <w:szCs w:val="32"/>
          <w:lang w:val="en-GB"/>
        </w:rPr>
        <w:t xml:space="preserve">gender gap in economic dependency </w:t>
      </w:r>
      <w:r w:rsidR="002B1927">
        <w:rPr>
          <w:sz w:val="32"/>
          <w:szCs w:val="32"/>
          <w:lang w:val="en-GB"/>
        </w:rPr>
        <w:t xml:space="preserve">in the period </w:t>
      </w:r>
      <w:r w:rsidR="002B1927" w:rsidRPr="002B1927">
        <w:rPr>
          <w:sz w:val="32"/>
          <w:szCs w:val="32"/>
          <w:lang w:val="sl-SI"/>
        </w:rPr>
        <w:t>2000–2012</w:t>
      </w:r>
      <w:bookmarkStart w:id="0" w:name="_GoBack"/>
      <w:bookmarkEnd w:id="0"/>
      <w:r w:rsidRPr="002B1927">
        <w:rPr>
          <w:sz w:val="32"/>
          <w:szCs w:val="32"/>
          <w:lang w:val="en-GB"/>
        </w:rPr>
        <w:t>)</w:t>
      </w:r>
    </w:p>
    <w:p w14:paraId="0FF50DD7" w14:textId="77777777" w:rsidR="009B1A41" w:rsidRDefault="009B1A41" w:rsidP="00DD0F1B">
      <w:pPr>
        <w:ind w:right="11"/>
        <w:jc w:val="center"/>
        <w:rPr>
          <w:b/>
          <w:sz w:val="22"/>
          <w:lang w:val="sl-SI"/>
        </w:rPr>
      </w:pPr>
    </w:p>
    <w:p w14:paraId="4720BC7C" w14:textId="77777777" w:rsidR="009B1A41" w:rsidRPr="00824F71" w:rsidRDefault="009B1A41" w:rsidP="00DD0F1B">
      <w:pPr>
        <w:ind w:right="11"/>
        <w:jc w:val="center"/>
        <w:rPr>
          <w:b/>
          <w:sz w:val="22"/>
          <w:lang w:val="sl-SI"/>
        </w:rPr>
      </w:pPr>
    </w:p>
    <w:p w14:paraId="4DEBBC0C" w14:textId="77777777" w:rsidR="009A211C" w:rsidRPr="00824F71" w:rsidRDefault="009A211C" w:rsidP="009A211C">
      <w:pPr>
        <w:pStyle w:val="Heading1"/>
        <w:keepNext w:val="0"/>
        <w:ind w:right="11"/>
        <w:rPr>
          <w:lang w:val="sl-SI"/>
        </w:rPr>
      </w:pPr>
      <w:r>
        <w:rPr>
          <w:lang w:val="sl-SI"/>
        </w:rPr>
        <w:t>Tanja Istenič</w:t>
      </w:r>
    </w:p>
    <w:p w14:paraId="6799F62B" w14:textId="77777777" w:rsidR="009A211C" w:rsidRPr="005257DD" w:rsidRDefault="009A211C" w:rsidP="009A211C">
      <w:pPr>
        <w:ind w:right="11"/>
        <w:jc w:val="center"/>
        <w:rPr>
          <w:lang w:val="sl-SI"/>
        </w:rPr>
      </w:pPr>
      <w:r w:rsidRPr="005257DD">
        <w:rPr>
          <w:lang w:val="sl-SI"/>
        </w:rPr>
        <w:t>Ekonomska fakulteta, Univerza v Ljubljani</w:t>
      </w:r>
    </w:p>
    <w:p w14:paraId="1885B959" w14:textId="77777777" w:rsidR="009A211C" w:rsidRPr="005257DD" w:rsidRDefault="009A211C" w:rsidP="009A211C">
      <w:pPr>
        <w:ind w:right="11"/>
        <w:jc w:val="center"/>
        <w:rPr>
          <w:lang w:val="sl-SI"/>
        </w:rPr>
      </w:pPr>
      <w:r w:rsidRPr="005257DD">
        <w:rPr>
          <w:lang w:val="sl-SI"/>
        </w:rPr>
        <w:t>Kardeljeva ploščad 17, 1000 Ljubljana, Slovenija</w:t>
      </w:r>
    </w:p>
    <w:p w14:paraId="5D244A1F" w14:textId="77777777" w:rsidR="009A211C" w:rsidRPr="005257DD" w:rsidRDefault="009A211C" w:rsidP="009A211C">
      <w:pPr>
        <w:ind w:right="11"/>
        <w:jc w:val="center"/>
        <w:rPr>
          <w:lang w:val="sl-SI"/>
        </w:rPr>
      </w:pPr>
      <w:r w:rsidRPr="005257DD">
        <w:rPr>
          <w:lang w:val="sl-SI"/>
        </w:rPr>
        <w:t>Tel: +386 1 5892778; fax: +386 1 5892698</w:t>
      </w:r>
    </w:p>
    <w:p w14:paraId="543C6958" w14:textId="77777777" w:rsidR="009A211C" w:rsidRDefault="009A211C" w:rsidP="009A211C">
      <w:pPr>
        <w:ind w:right="11"/>
        <w:jc w:val="center"/>
        <w:rPr>
          <w:lang w:val="sl-SI"/>
        </w:rPr>
      </w:pPr>
      <w:r w:rsidRPr="005257DD">
        <w:rPr>
          <w:lang w:val="sl-SI"/>
        </w:rPr>
        <w:t>e-pošta: tanja.istenic@ef.uni-lj.si</w:t>
      </w:r>
    </w:p>
    <w:p w14:paraId="2CA225E5" w14:textId="69883846" w:rsidR="009A211C" w:rsidRDefault="009A211C" w:rsidP="00AF02AE">
      <w:pPr>
        <w:pStyle w:val="Heading1"/>
        <w:keepNext w:val="0"/>
        <w:ind w:right="11"/>
        <w:rPr>
          <w:lang w:val="sl-SI"/>
        </w:rPr>
      </w:pPr>
    </w:p>
    <w:p w14:paraId="7BC3E62E" w14:textId="59836580" w:rsidR="00637A2E" w:rsidRPr="00824F71" w:rsidRDefault="00637A2E" w:rsidP="00637A2E">
      <w:pPr>
        <w:pStyle w:val="Heading1"/>
        <w:keepNext w:val="0"/>
        <w:ind w:right="11"/>
        <w:rPr>
          <w:lang w:val="sl-SI"/>
        </w:rPr>
      </w:pPr>
      <w:r>
        <w:rPr>
          <w:lang w:val="sl-SI"/>
        </w:rPr>
        <w:t>Irena Ograjenšek</w:t>
      </w:r>
    </w:p>
    <w:p w14:paraId="25626E6B" w14:textId="77777777" w:rsidR="00637A2E" w:rsidRPr="005257DD" w:rsidRDefault="00637A2E" w:rsidP="00637A2E">
      <w:pPr>
        <w:ind w:right="11"/>
        <w:jc w:val="center"/>
        <w:rPr>
          <w:lang w:val="sl-SI"/>
        </w:rPr>
      </w:pPr>
      <w:r w:rsidRPr="005257DD">
        <w:rPr>
          <w:lang w:val="sl-SI"/>
        </w:rPr>
        <w:t>Ekonomska fakulteta, Univerza v Ljubljani</w:t>
      </w:r>
    </w:p>
    <w:p w14:paraId="4C32D484" w14:textId="77777777" w:rsidR="00637A2E" w:rsidRPr="005257DD" w:rsidRDefault="00637A2E" w:rsidP="00637A2E">
      <w:pPr>
        <w:ind w:right="11"/>
        <w:jc w:val="center"/>
        <w:rPr>
          <w:lang w:val="sl-SI"/>
        </w:rPr>
      </w:pPr>
      <w:r w:rsidRPr="005257DD">
        <w:rPr>
          <w:lang w:val="sl-SI"/>
        </w:rPr>
        <w:t>Kardeljeva ploščad 17, 1000 Ljubljana, Slovenija</w:t>
      </w:r>
    </w:p>
    <w:p w14:paraId="550F9708" w14:textId="643A9F7E" w:rsidR="00637A2E" w:rsidRPr="005257DD" w:rsidRDefault="00637A2E" w:rsidP="00637A2E">
      <w:pPr>
        <w:ind w:right="11"/>
        <w:jc w:val="center"/>
        <w:rPr>
          <w:lang w:val="sl-SI"/>
        </w:rPr>
      </w:pPr>
      <w:r>
        <w:rPr>
          <w:lang w:val="sl-SI"/>
        </w:rPr>
        <w:t>Tel: +386 1 5892505</w:t>
      </w:r>
      <w:r w:rsidRPr="005257DD">
        <w:rPr>
          <w:lang w:val="sl-SI"/>
        </w:rPr>
        <w:t>; fax: +386 1 5892698</w:t>
      </w:r>
    </w:p>
    <w:p w14:paraId="5221E7E5" w14:textId="168D01A7" w:rsidR="00637A2E" w:rsidRDefault="00637A2E" w:rsidP="00637A2E">
      <w:pPr>
        <w:ind w:right="11"/>
        <w:jc w:val="center"/>
        <w:rPr>
          <w:lang w:val="sl-SI"/>
        </w:rPr>
      </w:pPr>
      <w:r w:rsidRPr="005257DD">
        <w:rPr>
          <w:lang w:val="sl-SI"/>
        </w:rPr>
        <w:t xml:space="preserve">e-pošta: </w:t>
      </w:r>
      <w:r>
        <w:rPr>
          <w:lang w:val="sl-SI"/>
        </w:rPr>
        <w:t>irena.ograjensek</w:t>
      </w:r>
      <w:r w:rsidRPr="005257DD">
        <w:rPr>
          <w:lang w:val="sl-SI"/>
        </w:rPr>
        <w:t>@ef.uni-lj.si</w:t>
      </w:r>
    </w:p>
    <w:p w14:paraId="63947C42" w14:textId="48857C17" w:rsidR="009A211C" w:rsidRDefault="009A211C" w:rsidP="00637A2E">
      <w:pPr>
        <w:pStyle w:val="Heading1"/>
        <w:keepNext w:val="0"/>
        <w:ind w:right="11"/>
        <w:jc w:val="left"/>
        <w:rPr>
          <w:lang w:val="sl-SI"/>
        </w:rPr>
      </w:pPr>
    </w:p>
    <w:p w14:paraId="526FE769" w14:textId="77777777" w:rsidR="009B1A41" w:rsidRPr="00824F71" w:rsidRDefault="009B1A41" w:rsidP="00AF02AE">
      <w:pPr>
        <w:pStyle w:val="Heading1"/>
        <w:keepNext w:val="0"/>
        <w:ind w:right="11"/>
        <w:rPr>
          <w:lang w:val="sl-SI"/>
        </w:rPr>
      </w:pPr>
      <w:r w:rsidRPr="00824F71">
        <w:rPr>
          <w:lang w:val="sl-SI"/>
        </w:rPr>
        <w:t>Jože Sambt</w:t>
      </w:r>
    </w:p>
    <w:p w14:paraId="2A0D9584" w14:textId="77777777" w:rsidR="009B1A41" w:rsidRPr="00824F71" w:rsidRDefault="009B1A41">
      <w:pPr>
        <w:ind w:right="11"/>
        <w:jc w:val="center"/>
        <w:rPr>
          <w:lang w:val="sl-SI"/>
        </w:rPr>
      </w:pPr>
      <w:r w:rsidRPr="00824F71">
        <w:rPr>
          <w:lang w:val="sl-SI"/>
        </w:rPr>
        <w:t>Ekonomska fakulteta, Univerza v Ljubljani</w:t>
      </w:r>
    </w:p>
    <w:p w14:paraId="662DB1C8" w14:textId="77777777" w:rsidR="009B1A41" w:rsidRPr="00824F71" w:rsidRDefault="009B1A41">
      <w:pPr>
        <w:ind w:right="11"/>
        <w:jc w:val="center"/>
        <w:rPr>
          <w:lang w:val="sl-SI"/>
        </w:rPr>
      </w:pPr>
      <w:r w:rsidRPr="00824F71">
        <w:rPr>
          <w:lang w:val="sl-SI"/>
        </w:rPr>
        <w:t>Kardeljeva ploščad 17, 1000 Ljubljana, Slovenija</w:t>
      </w:r>
    </w:p>
    <w:p w14:paraId="020A34C7" w14:textId="77777777" w:rsidR="009B1A41" w:rsidRPr="00824F71" w:rsidRDefault="009A211C">
      <w:pPr>
        <w:ind w:right="11"/>
        <w:jc w:val="center"/>
        <w:rPr>
          <w:lang w:val="sl-SI"/>
        </w:rPr>
      </w:pPr>
      <w:r>
        <w:rPr>
          <w:lang w:val="sl-SI"/>
        </w:rPr>
        <w:t>Tel: +386 1 5892515</w:t>
      </w:r>
      <w:r w:rsidR="009B1A41" w:rsidRPr="00824F71">
        <w:rPr>
          <w:lang w:val="sl-SI"/>
        </w:rPr>
        <w:t>; fax: +386 1 5892698</w:t>
      </w:r>
    </w:p>
    <w:p w14:paraId="5C977814" w14:textId="77777777" w:rsidR="009B1A41" w:rsidRPr="00824F71" w:rsidRDefault="009B1A41">
      <w:pPr>
        <w:ind w:right="11"/>
        <w:jc w:val="center"/>
        <w:rPr>
          <w:lang w:val="sl-SI"/>
        </w:rPr>
      </w:pPr>
      <w:r w:rsidRPr="00824F71">
        <w:rPr>
          <w:lang w:val="sl-SI"/>
        </w:rPr>
        <w:t>e-pošta: joze.sambt@ef.uni-lj.si</w:t>
      </w:r>
    </w:p>
    <w:p w14:paraId="5FFC874F" w14:textId="32E52880" w:rsidR="007D0EF7" w:rsidRDefault="007D0EF7" w:rsidP="007D0EF7">
      <w:pPr>
        <w:ind w:right="11"/>
        <w:rPr>
          <w:color w:val="FF0000"/>
          <w:sz w:val="22"/>
          <w:lang w:val="sl-SI"/>
        </w:rPr>
      </w:pPr>
    </w:p>
    <w:p w14:paraId="73431044" w14:textId="77777777" w:rsidR="00BE037A" w:rsidRDefault="00BE037A" w:rsidP="00DD0F1B">
      <w:pPr>
        <w:ind w:right="11"/>
        <w:jc w:val="center"/>
        <w:rPr>
          <w:color w:val="FF0000"/>
          <w:sz w:val="22"/>
          <w:lang w:val="sl-SI"/>
        </w:rPr>
      </w:pPr>
    </w:p>
    <w:p w14:paraId="6ED3E627" w14:textId="77777777" w:rsidR="009B1A41" w:rsidRDefault="009B1A41" w:rsidP="00DD0F1B">
      <w:pPr>
        <w:ind w:right="11"/>
        <w:jc w:val="center"/>
        <w:rPr>
          <w:color w:val="FF0000"/>
          <w:sz w:val="22"/>
          <w:lang w:val="sl-SI"/>
        </w:rPr>
        <w:sectPr w:rsidR="009B1A41" w:rsidSect="009B1A41">
          <w:footerReference w:type="even" r:id="rId8"/>
          <w:footerReference w:type="default" r:id="rId9"/>
          <w:type w:val="continuous"/>
          <w:pgSz w:w="11913" w:h="16834"/>
          <w:pgMar w:top="1418" w:right="851" w:bottom="1985" w:left="851" w:header="708" w:footer="708" w:gutter="0"/>
          <w:paperSrc w:first="15" w:other="15"/>
          <w:cols w:space="436"/>
        </w:sectPr>
      </w:pPr>
    </w:p>
    <w:p w14:paraId="52316446" w14:textId="77777777" w:rsidR="009B1A41" w:rsidRDefault="009B1A41" w:rsidP="00DD0F1B">
      <w:pPr>
        <w:ind w:right="11"/>
        <w:jc w:val="center"/>
        <w:rPr>
          <w:color w:val="FF0000"/>
          <w:sz w:val="22"/>
          <w:lang w:val="sl-SI"/>
        </w:rPr>
      </w:pPr>
    </w:p>
    <w:p w14:paraId="4BE09FE1" w14:textId="77777777" w:rsidR="009B1A41" w:rsidRDefault="009B1A41" w:rsidP="009B1A41">
      <w:pPr>
        <w:ind w:right="11"/>
        <w:rPr>
          <w:color w:val="FF0000"/>
          <w:sz w:val="22"/>
          <w:lang w:val="sl-SI"/>
        </w:rPr>
        <w:sectPr w:rsidR="009B1A41" w:rsidSect="00B12C58">
          <w:type w:val="continuous"/>
          <w:pgSz w:w="11913" w:h="16834"/>
          <w:pgMar w:top="1418" w:right="851" w:bottom="1985" w:left="851" w:header="708" w:footer="708" w:gutter="0"/>
          <w:paperSrc w:first="15" w:other="15"/>
          <w:cols w:num="2" w:space="436" w:equalWidth="0">
            <w:col w:w="4887" w:space="436"/>
            <w:col w:w="4888"/>
          </w:cols>
        </w:sectPr>
      </w:pPr>
    </w:p>
    <w:p w14:paraId="03625B66" w14:textId="77777777" w:rsidR="009B1A41" w:rsidRPr="00F06E71" w:rsidRDefault="009B1A41" w:rsidP="00DD0F1B">
      <w:pPr>
        <w:pStyle w:val="BodyText"/>
        <w:spacing w:before="60"/>
        <w:ind w:right="67"/>
        <w:rPr>
          <w:sz w:val="22"/>
          <w:szCs w:val="22"/>
          <w:lang w:val="sl-SI"/>
        </w:rPr>
      </w:pPr>
      <w:r w:rsidRPr="00F06E71">
        <w:rPr>
          <w:sz w:val="22"/>
          <w:szCs w:val="22"/>
          <w:lang w:val="sl-SI"/>
        </w:rPr>
        <w:lastRenderedPageBreak/>
        <w:t>POVZETEK</w:t>
      </w:r>
    </w:p>
    <w:p w14:paraId="17E7A60F" w14:textId="0B0A37AF" w:rsidR="001F2131" w:rsidRPr="00593385" w:rsidRDefault="001F2131" w:rsidP="000D425D">
      <w:pPr>
        <w:pStyle w:val="StyleBodyTextIndent210ptFirstline0cmRight012cm"/>
        <w:spacing w:before="60"/>
        <w:rPr>
          <w:b/>
          <w:lang w:val="sl-SI"/>
        </w:rPr>
      </w:pPr>
      <w:r w:rsidRPr="00593385">
        <w:rPr>
          <w:b/>
          <w:lang w:val="sl-SI"/>
        </w:rPr>
        <w:t xml:space="preserve">V ekonomski analizi je obdobje ekonomske odvisnosti običajno </w:t>
      </w:r>
      <w:r w:rsidR="00CB2F38" w:rsidRPr="00593385">
        <w:rPr>
          <w:b/>
          <w:lang w:val="sl-SI"/>
        </w:rPr>
        <w:t>opredeljeno</w:t>
      </w:r>
      <w:r w:rsidRPr="00593385">
        <w:rPr>
          <w:b/>
          <w:lang w:val="sl-SI"/>
        </w:rPr>
        <w:t xml:space="preserve"> z uporabo fiksnih starostnih mej, neodvisnih od države, leta analize, spola itd. Poleg tega običajno predpostavlja</w:t>
      </w:r>
      <w:r w:rsidR="00CB2F38" w:rsidRPr="00593385">
        <w:rPr>
          <w:b/>
          <w:lang w:val="sl-SI"/>
        </w:rPr>
        <w:t>mo</w:t>
      </w:r>
      <w:r w:rsidRPr="00593385">
        <w:rPr>
          <w:b/>
          <w:lang w:val="sl-SI"/>
        </w:rPr>
        <w:t xml:space="preserve"> </w:t>
      </w:r>
      <w:r w:rsidR="00CB2F38" w:rsidRPr="00593385">
        <w:rPr>
          <w:b/>
          <w:lang w:val="sl-SI"/>
        </w:rPr>
        <w:t>enak obseg</w:t>
      </w:r>
      <w:r w:rsidRPr="00593385">
        <w:rPr>
          <w:b/>
          <w:lang w:val="sl-SI"/>
        </w:rPr>
        <w:t xml:space="preserve"> ekonomske odvisnosti</w:t>
      </w:r>
      <w:r w:rsidRPr="001F2131">
        <w:rPr>
          <w:b/>
          <w:lang w:val="sl-SI"/>
        </w:rPr>
        <w:t xml:space="preserve">, ne glede na starost odvisnih posameznikov. Metodološki okvir računov nacionalnih transferjev (angl. </w:t>
      </w:r>
      <w:r w:rsidRPr="001F2131">
        <w:rPr>
          <w:b/>
          <w:i/>
          <w:lang w:val="sl-SI"/>
        </w:rPr>
        <w:t>National Transfer Accounts</w:t>
      </w:r>
      <w:r w:rsidRPr="001F2131">
        <w:rPr>
          <w:b/>
          <w:lang w:val="sl-SI"/>
        </w:rPr>
        <w:t xml:space="preserve"> – NTA) nam s pomočjo koncepta primanjkljaja življenjskega cikla omogoča natančno </w:t>
      </w:r>
      <w:r w:rsidRPr="00593385">
        <w:rPr>
          <w:b/>
          <w:lang w:val="sl-SI"/>
        </w:rPr>
        <w:t xml:space="preserve">merjenje obdobja in </w:t>
      </w:r>
      <w:r w:rsidR="00CB2F38" w:rsidRPr="00593385">
        <w:rPr>
          <w:b/>
          <w:lang w:val="sl-SI"/>
        </w:rPr>
        <w:t>obsega</w:t>
      </w:r>
      <w:r w:rsidRPr="00593385">
        <w:rPr>
          <w:b/>
          <w:lang w:val="sl-SI"/>
        </w:rPr>
        <w:t xml:space="preserve"> ekonomske odvisnosti. </w:t>
      </w:r>
    </w:p>
    <w:p w14:paraId="5E2DDD1B" w14:textId="3C8BF8F9" w:rsidR="00041BB8" w:rsidRDefault="000D425D" w:rsidP="00041BB8">
      <w:pPr>
        <w:pStyle w:val="StyleBodyTextIndent210ptFirstline0cmRight012cm"/>
        <w:spacing w:before="60"/>
        <w:rPr>
          <w:b/>
          <w:lang w:val="sl-SI"/>
        </w:rPr>
      </w:pPr>
      <w:r w:rsidRPr="00593385">
        <w:rPr>
          <w:b/>
          <w:lang w:val="sl-SI"/>
        </w:rPr>
        <w:t xml:space="preserve">V </w:t>
      </w:r>
      <w:r w:rsidR="00DD7270" w:rsidRPr="00593385">
        <w:rPr>
          <w:b/>
          <w:lang w:val="sl-SI"/>
        </w:rPr>
        <w:t>članku predstavljamo rezultate</w:t>
      </w:r>
      <w:r w:rsidRPr="00593385">
        <w:rPr>
          <w:b/>
          <w:lang w:val="sl-SI"/>
        </w:rPr>
        <w:t xml:space="preserve"> retrospektivn</w:t>
      </w:r>
      <w:r w:rsidR="00DD7270" w:rsidRPr="00593385">
        <w:rPr>
          <w:b/>
          <w:lang w:val="sl-SI"/>
        </w:rPr>
        <w:t xml:space="preserve">e </w:t>
      </w:r>
      <w:r w:rsidR="00CB2F38" w:rsidRPr="00593385">
        <w:rPr>
          <w:b/>
          <w:lang w:val="sl-SI"/>
        </w:rPr>
        <w:t xml:space="preserve">analize </w:t>
      </w:r>
      <w:r w:rsidR="00DD7270" w:rsidRPr="00593385">
        <w:rPr>
          <w:b/>
          <w:lang w:val="sl-SI"/>
        </w:rPr>
        <w:t xml:space="preserve">NTA </w:t>
      </w:r>
      <w:r w:rsidR="001F2131" w:rsidRPr="00593385">
        <w:rPr>
          <w:b/>
          <w:lang w:val="sl-SI"/>
        </w:rPr>
        <w:t xml:space="preserve">po spolu </w:t>
      </w:r>
      <w:r w:rsidR="00DD7270" w:rsidRPr="00593385">
        <w:rPr>
          <w:b/>
          <w:lang w:val="sl-SI"/>
        </w:rPr>
        <w:t xml:space="preserve">za Slovenijo v obdobju </w:t>
      </w:r>
      <w:r w:rsidR="001F2131" w:rsidRPr="00593385">
        <w:rPr>
          <w:b/>
          <w:lang w:val="sl-SI"/>
        </w:rPr>
        <w:t>2000</w:t>
      </w:r>
      <w:r w:rsidRPr="00593385">
        <w:rPr>
          <w:b/>
          <w:lang w:val="sl-SI"/>
        </w:rPr>
        <w:t xml:space="preserve">–2012. </w:t>
      </w:r>
      <w:r w:rsidR="00041BB8" w:rsidRPr="00593385">
        <w:rPr>
          <w:b/>
          <w:lang w:val="sl-SI"/>
        </w:rPr>
        <w:t xml:space="preserve">Rezultati kažejo, da so bile </w:t>
      </w:r>
      <w:r w:rsidR="00D63769" w:rsidRPr="00593385">
        <w:rPr>
          <w:b/>
          <w:lang w:val="sl-SI"/>
        </w:rPr>
        <w:t xml:space="preserve">ženske </w:t>
      </w:r>
      <w:r w:rsidR="00041BB8" w:rsidRPr="00593385">
        <w:rPr>
          <w:b/>
          <w:lang w:val="sl-SI"/>
        </w:rPr>
        <w:t xml:space="preserve">v letu 2012 </w:t>
      </w:r>
      <w:r w:rsidR="00D63769" w:rsidRPr="00593385">
        <w:rPr>
          <w:b/>
          <w:lang w:val="sl-SI"/>
        </w:rPr>
        <w:t xml:space="preserve">sposobne financirati svojo potrošnjo za obdobje 29,0 let, medtem ko moški 35,9 let. Vendar pa se v času razlika </w:t>
      </w:r>
      <w:r w:rsidR="005A0B58" w:rsidRPr="00593385">
        <w:rPr>
          <w:b/>
          <w:lang w:val="sl-SI"/>
        </w:rPr>
        <w:t xml:space="preserve">med spoloma </w:t>
      </w:r>
      <w:r w:rsidR="00D63769" w:rsidRPr="00593385">
        <w:rPr>
          <w:b/>
          <w:lang w:val="sl-SI"/>
        </w:rPr>
        <w:t xml:space="preserve">v dolžini ekonomske neodvisnosti skrajšuje, </w:t>
      </w:r>
      <w:r w:rsidR="00CB2F38" w:rsidRPr="00593385">
        <w:rPr>
          <w:b/>
          <w:lang w:val="sl-SI"/>
        </w:rPr>
        <w:t>s</w:t>
      </w:r>
      <w:r w:rsidR="00D63769" w:rsidRPr="00593385">
        <w:rPr>
          <w:b/>
          <w:lang w:val="sl-SI"/>
        </w:rPr>
        <w:t xml:space="preserve"> 7,9 le</w:t>
      </w:r>
      <w:r w:rsidR="00D63769" w:rsidRPr="00D63769">
        <w:rPr>
          <w:b/>
          <w:lang w:val="sl-SI"/>
        </w:rPr>
        <w:t xml:space="preserve">t v letu 2000 na 6,9 let v letu 2012. </w:t>
      </w:r>
      <w:r w:rsidR="00DD7270">
        <w:rPr>
          <w:b/>
          <w:lang w:val="sl-SI"/>
        </w:rPr>
        <w:t xml:space="preserve"> </w:t>
      </w:r>
      <w:r w:rsidRPr="000D425D">
        <w:rPr>
          <w:b/>
          <w:lang w:val="sl-SI"/>
        </w:rPr>
        <w:t xml:space="preserve"> </w:t>
      </w:r>
    </w:p>
    <w:p w14:paraId="535088DA" w14:textId="562F3542" w:rsidR="00041BB8" w:rsidRDefault="00041BB8" w:rsidP="00041BB8">
      <w:pPr>
        <w:pStyle w:val="StyleBodyTextIndent210ptFirstline0cmRight012cm"/>
        <w:spacing w:before="60"/>
        <w:rPr>
          <w:b/>
          <w:lang w:val="sl-SI"/>
        </w:rPr>
      </w:pPr>
    </w:p>
    <w:p w14:paraId="467BA88E" w14:textId="30897AB4" w:rsidR="00041BB8" w:rsidRPr="00DC685F" w:rsidRDefault="00041BB8" w:rsidP="00041BB8">
      <w:pPr>
        <w:pStyle w:val="StyleBodyTextIndent210ptFirstline0cmRight012cm"/>
        <w:ind w:firstLine="0"/>
        <w:jc w:val="left"/>
        <w:rPr>
          <w:lang w:val="sl-SI"/>
        </w:rPr>
      </w:pPr>
      <w:r w:rsidRPr="00DC685F">
        <w:rPr>
          <w:b/>
          <w:lang w:val="sl-SI"/>
        </w:rPr>
        <w:t xml:space="preserve">Ključne </w:t>
      </w:r>
      <w:r w:rsidRPr="00593385">
        <w:rPr>
          <w:b/>
          <w:lang w:val="sl-SI"/>
        </w:rPr>
        <w:t>besede:</w:t>
      </w:r>
      <w:r w:rsidRPr="00593385">
        <w:rPr>
          <w:lang w:val="sl-SI"/>
        </w:rPr>
        <w:t xml:space="preserve"> računi nacionalnih transferjev, ekonomska odvisnost, </w:t>
      </w:r>
      <w:r w:rsidR="00CB2F38" w:rsidRPr="00593385">
        <w:rPr>
          <w:lang w:val="sl-SI"/>
        </w:rPr>
        <w:t>vidik</w:t>
      </w:r>
      <w:r w:rsidRPr="00593385">
        <w:rPr>
          <w:lang w:val="sl-SI"/>
        </w:rPr>
        <w:t xml:space="preserve"> spola, Slovenija</w:t>
      </w:r>
      <w:r w:rsidRPr="00DC685F">
        <w:rPr>
          <w:lang w:val="sl-SI"/>
        </w:rPr>
        <w:t>.</w:t>
      </w:r>
    </w:p>
    <w:p w14:paraId="3BEED4BA" w14:textId="77777777" w:rsidR="00041BB8" w:rsidRDefault="00041BB8" w:rsidP="002659E5">
      <w:pPr>
        <w:pStyle w:val="StyleBodyTextIndent210ptFirstline0cmRight012cm"/>
        <w:jc w:val="center"/>
        <w:rPr>
          <w:b/>
          <w:lang w:val="sl-SI"/>
        </w:rPr>
      </w:pPr>
    </w:p>
    <w:p w14:paraId="3BDAB080" w14:textId="77777777" w:rsidR="005A0B58" w:rsidRDefault="005A0B58" w:rsidP="002659E5">
      <w:pPr>
        <w:pStyle w:val="StyleBodyTextIndent210ptFirstline0cmRight012cm"/>
        <w:jc w:val="center"/>
        <w:rPr>
          <w:b/>
          <w:lang w:val="sl-SI"/>
        </w:rPr>
      </w:pPr>
    </w:p>
    <w:p w14:paraId="16989D1F" w14:textId="77777777" w:rsidR="005A0B58" w:rsidRDefault="005A0B58" w:rsidP="002659E5">
      <w:pPr>
        <w:pStyle w:val="StyleBodyTextIndent210ptFirstline0cmRight012cm"/>
        <w:jc w:val="center"/>
        <w:rPr>
          <w:b/>
          <w:lang w:val="sl-SI"/>
        </w:rPr>
      </w:pPr>
    </w:p>
    <w:p w14:paraId="5A7534DD" w14:textId="31F81DB6" w:rsidR="002659E5" w:rsidRDefault="002659E5" w:rsidP="002659E5">
      <w:pPr>
        <w:pStyle w:val="StyleBodyTextIndent210ptFirstline0cmRight012cm"/>
        <w:jc w:val="center"/>
        <w:rPr>
          <w:b/>
          <w:lang w:val="sl-SI"/>
        </w:rPr>
      </w:pPr>
      <w:r>
        <w:rPr>
          <w:b/>
          <w:lang w:val="sl-SI"/>
        </w:rPr>
        <w:lastRenderedPageBreak/>
        <w:t>ABSTRACT</w:t>
      </w:r>
    </w:p>
    <w:p w14:paraId="4D3DD316" w14:textId="77777777" w:rsidR="001F2131" w:rsidRDefault="001F2131" w:rsidP="002659E5">
      <w:pPr>
        <w:pStyle w:val="StyleBodyTextIndent210ptFirstline0cmRight012cm"/>
        <w:rPr>
          <w:b/>
          <w:lang w:val="en-GB"/>
        </w:rPr>
      </w:pPr>
      <w:r w:rsidRPr="001F2131">
        <w:rPr>
          <w:b/>
          <w:lang w:val="en-GB"/>
        </w:rPr>
        <w:t xml:space="preserve">In the economic analysis, the period of economic dependency is usually defined using fixed age limits, independently of country, year of analysis, gender, etc. Moreover, the same size of economic dependency is usually assumed, independently of the age of dependent individuals. However, by using the concept of the life cycle deficit, the National Transfer Accounts (NTA) framework enables us to precisely measure the period and size of economic dependency. </w:t>
      </w:r>
    </w:p>
    <w:p w14:paraId="139620FD" w14:textId="60EF9544" w:rsidR="002659E5" w:rsidRPr="00D63769" w:rsidRDefault="00BE064F" w:rsidP="00D63769">
      <w:pPr>
        <w:pStyle w:val="StyleBodyTextIndent210ptFirstline0cmRight012cm"/>
        <w:rPr>
          <w:b/>
          <w:lang w:val="en-GB"/>
        </w:rPr>
      </w:pPr>
      <w:r>
        <w:rPr>
          <w:b/>
          <w:lang w:val="en-GB"/>
        </w:rPr>
        <w:t>This</w:t>
      </w:r>
      <w:r w:rsidR="002659E5" w:rsidRPr="00B646E7">
        <w:rPr>
          <w:b/>
          <w:lang w:val="en-GB"/>
        </w:rPr>
        <w:t xml:space="preserve"> </w:t>
      </w:r>
      <w:r>
        <w:rPr>
          <w:b/>
          <w:lang w:val="en-GB"/>
        </w:rPr>
        <w:t>paper</w:t>
      </w:r>
      <w:r w:rsidR="002659E5" w:rsidRPr="00B646E7">
        <w:rPr>
          <w:b/>
          <w:lang w:val="en-GB"/>
        </w:rPr>
        <w:t xml:space="preserve"> presents the results of a retrospective NTA </w:t>
      </w:r>
      <w:r w:rsidR="001F2131">
        <w:rPr>
          <w:b/>
          <w:lang w:val="en-GB"/>
        </w:rPr>
        <w:t xml:space="preserve">by gender </w:t>
      </w:r>
      <w:r w:rsidR="002659E5" w:rsidRPr="00B646E7">
        <w:rPr>
          <w:b/>
          <w:lang w:val="en-GB"/>
        </w:rPr>
        <w:t xml:space="preserve">for Slovenia in the period </w:t>
      </w:r>
      <w:r w:rsidR="001F2131">
        <w:rPr>
          <w:b/>
          <w:lang w:val="en-GB"/>
        </w:rPr>
        <w:t>2000</w:t>
      </w:r>
      <w:r>
        <w:rPr>
          <w:b/>
          <w:lang w:val="en-GB"/>
        </w:rPr>
        <w:t xml:space="preserve">–2012. </w:t>
      </w:r>
      <w:r w:rsidR="00D63769">
        <w:rPr>
          <w:b/>
          <w:lang w:val="en-GB"/>
        </w:rPr>
        <w:t>Our results show that i</w:t>
      </w:r>
      <w:r w:rsidR="00D63769" w:rsidRPr="00D63769">
        <w:rPr>
          <w:b/>
          <w:lang w:val="en-GB"/>
        </w:rPr>
        <w:t>n 2012, women were able to finance their consumption with their labour income for 29.0 years, whereas men financed their consumption for 35.9 years. However, the significant gender gap in the length of economic independence decreased over time, from 7.9 years in 2000 to 6.9 years in 2012.</w:t>
      </w:r>
    </w:p>
    <w:p w14:paraId="36CB71CF" w14:textId="77777777" w:rsidR="00041BB8" w:rsidRDefault="00041BB8" w:rsidP="00803E02">
      <w:pPr>
        <w:pStyle w:val="StyleBodyTextIndent210ptFirstline0cmRight012cm"/>
        <w:ind w:firstLine="0"/>
        <w:rPr>
          <w:b/>
          <w:lang w:val="en-GB"/>
        </w:rPr>
      </w:pPr>
    </w:p>
    <w:p w14:paraId="0B4904F2" w14:textId="07762898" w:rsidR="00B866C4" w:rsidRDefault="00041BB8" w:rsidP="007A24F7">
      <w:pPr>
        <w:pStyle w:val="StyleBodyTextIndent210ptFirstline0cmRight012cm"/>
        <w:ind w:firstLine="0"/>
      </w:pPr>
      <w:r w:rsidRPr="00041BB8">
        <w:rPr>
          <w:b/>
        </w:rPr>
        <w:t>Keywords:</w:t>
      </w:r>
      <w:r>
        <w:t xml:space="preserve"> National Transfer Accounts, economic dependency, gender dimension, Slovenia. </w:t>
      </w:r>
      <w:r w:rsidR="0017740E" w:rsidRPr="0017740E">
        <w:t xml:space="preserve"> </w:t>
      </w:r>
    </w:p>
    <w:p w14:paraId="5AFFF14F" w14:textId="77777777" w:rsidR="00B06676" w:rsidRPr="007A24F7" w:rsidRDefault="00B06676" w:rsidP="007A24F7">
      <w:pPr>
        <w:pStyle w:val="StyleBodyTextIndent210ptFirstline0cmRight012cm"/>
        <w:ind w:firstLine="0"/>
      </w:pPr>
    </w:p>
    <w:p w14:paraId="0B4F761C" w14:textId="77777777" w:rsidR="009B1A41" w:rsidRPr="00F06E71" w:rsidRDefault="009B1A41" w:rsidP="00CF36A8">
      <w:pPr>
        <w:pStyle w:val="BodyTextIndent2"/>
        <w:keepNext/>
        <w:keepLines/>
        <w:spacing w:after="120"/>
        <w:ind w:right="68" w:firstLine="0"/>
        <w:rPr>
          <w:b/>
          <w:szCs w:val="22"/>
          <w:lang w:val="sl-SI"/>
        </w:rPr>
      </w:pPr>
      <w:r w:rsidRPr="00F06E71">
        <w:rPr>
          <w:b/>
          <w:szCs w:val="22"/>
          <w:lang w:val="sl-SI"/>
        </w:rPr>
        <w:lastRenderedPageBreak/>
        <w:t>1 UVOD</w:t>
      </w:r>
    </w:p>
    <w:p w14:paraId="2FB3FDCD" w14:textId="3E1FB5D5" w:rsidR="00637A2E" w:rsidRPr="00593385" w:rsidRDefault="00CB2F38" w:rsidP="00637A2E">
      <w:pPr>
        <w:pStyle w:val="StyleBodyTextIndent210ptFirstline0cmRight012cm"/>
        <w:spacing w:before="60"/>
        <w:ind w:right="68"/>
        <w:rPr>
          <w:lang w:val="sl-SI"/>
        </w:rPr>
      </w:pPr>
      <w:r w:rsidRPr="00593385">
        <w:rPr>
          <w:lang w:val="sl-SI"/>
        </w:rPr>
        <w:t>V času trajanja svojega življenja</w:t>
      </w:r>
      <w:r w:rsidR="00637A2E" w:rsidRPr="00593385">
        <w:rPr>
          <w:lang w:val="sl-SI"/>
        </w:rPr>
        <w:t xml:space="preserve"> se posamezniki soočajo z dvema obdobjema ekonomske odvisnosti, v času otroštva in v času starosti. V obdobju ekonomske odvisnosti posamezniki porabijo več, kot zaslužijo, in se na ta način soočajo s t. i. primanjkljajem življenjskega cikla. Ekonomska odvisnost mladih in starih je financirana s strani delovno aktivne populacije, katere delovni dohodek presega potrošnjo. Delovno aktivna populacija se sooča s t. i. presežkom življenjskega cikla, ki jim omogoča financiranje odvisnosti mladih in starih v obliki javnih in zasebnih transferjev ter javne in zasebne prerazdelitve iz naslova sredstev (angl. </w:t>
      </w:r>
      <w:r w:rsidR="00637A2E" w:rsidRPr="00593385">
        <w:rPr>
          <w:i/>
          <w:lang w:val="sl-SI"/>
        </w:rPr>
        <w:t>asset</w:t>
      </w:r>
      <w:r w:rsidR="00637A2E" w:rsidRPr="00593385">
        <w:rPr>
          <w:i/>
          <w:lang w:val="sl-SI"/>
        </w:rPr>
        <w:noBreakHyphen/>
        <w:t>based reallocations</w:t>
      </w:r>
      <w:r w:rsidR="00637A2E" w:rsidRPr="00593385">
        <w:rPr>
          <w:lang w:val="sl-SI"/>
        </w:rPr>
        <w:t>)</w:t>
      </w:r>
      <w:r w:rsidR="00381CB4" w:rsidRPr="00593385">
        <w:rPr>
          <w:lang w:val="sl-SI"/>
        </w:rPr>
        <w:t xml:space="preserve"> [2]</w:t>
      </w:r>
      <w:r w:rsidR="00637A2E" w:rsidRPr="00593385">
        <w:rPr>
          <w:lang w:val="sl-SI"/>
        </w:rPr>
        <w:t xml:space="preserve">. </w:t>
      </w:r>
    </w:p>
    <w:p w14:paraId="271C6C1B" w14:textId="4F8E0250" w:rsidR="00637A2E" w:rsidRPr="00637A2E" w:rsidRDefault="00637A2E" w:rsidP="00637A2E">
      <w:pPr>
        <w:pStyle w:val="StyleBodyTextIndent210ptFirstline0cmRight012cm"/>
        <w:spacing w:before="60"/>
        <w:ind w:right="68"/>
        <w:rPr>
          <w:lang w:val="sl-SI"/>
        </w:rPr>
      </w:pPr>
      <w:r w:rsidRPr="00593385">
        <w:rPr>
          <w:lang w:val="sl-SI"/>
        </w:rPr>
        <w:t xml:space="preserve">V ekonomski analizi je obdobje ekonomske odvisnosti običajno </w:t>
      </w:r>
      <w:r w:rsidR="00CB2F38" w:rsidRPr="00593385">
        <w:rPr>
          <w:lang w:val="sl-SI"/>
        </w:rPr>
        <w:t>opredeljeno</w:t>
      </w:r>
      <w:r w:rsidRPr="00593385">
        <w:rPr>
          <w:lang w:val="sl-SI"/>
        </w:rPr>
        <w:t xml:space="preserve"> z uporabo fiksnih starostnih mej, neodvisnih od države, leta analize, spola itd. Poleg tega </w:t>
      </w:r>
      <w:r w:rsidR="00CB2F38" w:rsidRPr="00593385">
        <w:rPr>
          <w:lang w:val="sl-SI"/>
        </w:rPr>
        <w:t>običajno predpostavljamo enak obseg</w:t>
      </w:r>
      <w:r w:rsidR="00CB2F38" w:rsidRPr="00593385">
        <w:rPr>
          <w:b/>
          <w:lang w:val="sl-SI"/>
        </w:rPr>
        <w:t xml:space="preserve"> </w:t>
      </w:r>
      <w:r w:rsidRPr="00593385">
        <w:rPr>
          <w:lang w:val="sl-SI"/>
        </w:rPr>
        <w:t xml:space="preserve">ekonomske odvisnosti, ne glede na starost odvisnih posameznikov. Metodološki okvir računov nacionalnih transferjev (angl. </w:t>
      </w:r>
      <w:r w:rsidRPr="00593385">
        <w:rPr>
          <w:i/>
          <w:lang w:val="sl-SI"/>
        </w:rPr>
        <w:t>National Transfer Accounts</w:t>
      </w:r>
      <w:r w:rsidRPr="00593385">
        <w:rPr>
          <w:lang w:val="sl-SI"/>
        </w:rPr>
        <w:t xml:space="preserve"> – NTA) nam s pomočjo koncepta primanjkljaja življenjskega cikla omogoča natančno merjenje obdobja in </w:t>
      </w:r>
      <w:r w:rsidR="00022B52" w:rsidRPr="00593385">
        <w:rPr>
          <w:lang w:val="sl-SI"/>
        </w:rPr>
        <w:t>obsega</w:t>
      </w:r>
      <w:r w:rsidRPr="00593385">
        <w:rPr>
          <w:lang w:val="sl-SI"/>
        </w:rPr>
        <w:t xml:space="preserve"> ekonomske odvisnosti. Z vpeljavo </w:t>
      </w:r>
      <w:r w:rsidR="00CB2F38" w:rsidRPr="00593385">
        <w:rPr>
          <w:lang w:val="sl-SI"/>
        </w:rPr>
        <w:t>vidika</w:t>
      </w:r>
      <w:r w:rsidRPr="00593385">
        <w:rPr>
          <w:lang w:val="sl-SI"/>
        </w:rPr>
        <w:t xml:space="preserve"> starosti</w:t>
      </w:r>
      <w:r w:rsidRPr="00637A2E">
        <w:rPr>
          <w:lang w:val="sl-SI"/>
        </w:rPr>
        <w:t xml:space="preserve"> v Sistem nacionalnih računov </w:t>
      </w:r>
      <w:r w:rsidR="00896649">
        <w:rPr>
          <w:lang w:val="sl-SI"/>
        </w:rPr>
        <w:t xml:space="preserve">(SNA) </w:t>
      </w:r>
      <w:r w:rsidRPr="00637A2E">
        <w:rPr>
          <w:lang w:val="sl-SI"/>
        </w:rPr>
        <w:t>nam NTA omogoča ocenjevanje starostnospecifičnih vrednosti ekonomskih kategorij, kot so delovni dohodek, dohodek iz premoženja, transferji, potrošnja in varčevanje. Ker so starostnospecifične vrednosti ekonomskih kategorij močno odvisne tudi od časa in spola, v članku v običajno analizo NTA dodajamo še dimenzijo časa in spola. V članku tako predstavljamo rezultate retrospektivnih NTA po spolu v Sloveniji v obdobju 2000–2012, ki nam pomagajo odgovoriti na naslednja raziskovalna vprašanja:</w:t>
      </w:r>
    </w:p>
    <w:p w14:paraId="086C0EFF" w14:textId="77777777" w:rsidR="00637A2E" w:rsidRPr="00637A2E" w:rsidRDefault="00637A2E" w:rsidP="008318B8">
      <w:pPr>
        <w:pStyle w:val="StyleBodyTextIndent210ptFirstline0cmRight012cm"/>
        <w:spacing w:before="60"/>
        <w:ind w:right="68" w:firstLine="0"/>
        <w:rPr>
          <w:lang w:val="sl-SI"/>
        </w:rPr>
      </w:pPr>
      <w:r w:rsidRPr="00637A2E">
        <w:rPr>
          <w:lang w:val="sl-SI"/>
        </w:rPr>
        <w:t xml:space="preserve">(1) Kako velike so razlike med spoloma v delovnem dohodku, potrošnji in primanjkljaju življenjskega cikla? </w:t>
      </w:r>
    </w:p>
    <w:p w14:paraId="3487EF2E" w14:textId="77777777" w:rsidR="00637A2E" w:rsidRPr="00637A2E" w:rsidRDefault="00637A2E" w:rsidP="008318B8">
      <w:pPr>
        <w:pStyle w:val="StyleBodyTextIndent210ptFirstline0cmRight012cm"/>
        <w:spacing w:before="60"/>
        <w:ind w:right="68" w:firstLine="0"/>
        <w:rPr>
          <w:lang w:val="sl-SI"/>
        </w:rPr>
      </w:pPr>
      <w:r w:rsidRPr="00637A2E">
        <w:rPr>
          <w:lang w:val="sl-SI"/>
        </w:rPr>
        <w:t xml:space="preserve">(2) Kako se vzorci delovnega dohodka, potrošnje in primanjkljaja življenjskega cikla obeh spolov spreminjajo skozi čas? </w:t>
      </w:r>
    </w:p>
    <w:p w14:paraId="5DEF876F" w14:textId="77777777" w:rsidR="00637A2E" w:rsidRPr="00637A2E" w:rsidRDefault="00637A2E" w:rsidP="008318B8">
      <w:pPr>
        <w:pStyle w:val="StyleBodyTextIndent210ptFirstline0cmRight012cm"/>
        <w:spacing w:before="60"/>
        <w:ind w:right="68" w:firstLine="0"/>
        <w:rPr>
          <w:lang w:val="sl-SI"/>
        </w:rPr>
      </w:pPr>
      <w:r w:rsidRPr="00637A2E">
        <w:rPr>
          <w:lang w:val="sl-SI"/>
        </w:rPr>
        <w:t>(3) Ima ekonomska kriza vpliv na razlike v dolžini in velikosti primanjkljaja življenjskega cikla med spoloma?</w:t>
      </w:r>
    </w:p>
    <w:p w14:paraId="3A09A648" w14:textId="77777777" w:rsidR="009A211C" w:rsidRPr="009A211C" w:rsidRDefault="009A211C" w:rsidP="009A211C">
      <w:pPr>
        <w:pStyle w:val="StyleBodyTextIndent210ptFirstline0cmRight012cm"/>
        <w:spacing w:before="60"/>
        <w:ind w:right="68"/>
        <w:rPr>
          <w:lang w:val="sl-SI"/>
        </w:rPr>
      </w:pPr>
    </w:p>
    <w:p w14:paraId="1F3CF931" w14:textId="77777777" w:rsidR="009A211C" w:rsidRPr="00F06E71" w:rsidRDefault="000D64A2" w:rsidP="000D64A2">
      <w:pPr>
        <w:pStyle w:val="BodyTextIndent2"/>
        <w:keepNext/>
        <w:keepLines/>
        <w:spacing w:after="120"/>
        <w:ind w:right="68" w:firstLine="0"/>
        <w:rPr>
          <w:b/>
          <w:szCs w:val="22"/>
          <w:lang w:val="sl-SI"/>
        </w:rPr>
      </w:pPr>
      <w:r w:rsidRPr="00F06E71">
        <w:rPr>
          <w:b/>
          <w:szCs w:val="22"/>
          <w:lang w:val="sl-SI"/>
        </w:rPr>
        <w:t>2 METODOLOGIJA IN PODATKI</w:t>
      </w:r>
    </w:p>
    <w:p w14:paraId="75747423" w14:textId="1C2F6249" w:rsidR="00637A2E" w:rsidRPr="00637A2E" w:rsidRDefault="00637A2E" w:rsidP="00637A2E">
      <w:pPr>
        <w:pStyle w:val="StyleBodyTextIndent210ptFirstline0cmRight012cm"/>
        <w:spacing w:before="60"/>
        <w:ind w:right="68"/>
        <w:rPr>
          <w:lang w:val="sl-SI"/>
        </w:rPr>
      </w:pPr>
      <w:r w:rsidRPr="00637A2E">
        <w:rPr>
          <w:lang w:val="sl-SI"/>
        </w:rPr>
        <w:t>Metodologija NTA temelji na proračunski omejitvi posameznika, kjer se morajo prilivi izenačiti z odlivi. Med prilive štejemo delovni dohodek (</w:t>
      </w:r>
      <m:oMath>
        <m:sSup>
          <m:sSupPr>
            <m:ctrlPr>
              <w:rPr>
                <w:rFonts w:ascii="Cambria Math" w:hAnsi="Cambria Math"/>
                <w:bCs/>
                <w:i/>
                <w:lang w:val="sl-SI"/>
              </w:rPr>
            </m:ctrlPr>
          </m:sSupPr>
          <m:e>
            <m:r>
              <w:rPr>
                <w:rFonts w:ascii="Cambria Math" w:hAnsi="Cambria Math"/>
                <w:lang w:val="sl-SI"/>
              </w:rPr>
              <m:t>Y</m:t>
            </m:r>
          </m:e>
          <m:sup>
            <m:r>
              <w:rPr>
                <w:rFonts w:ascii="Cambria Math" w:hAnsi="Cambria Math"/>
                <w:lang w:val="sl-SI"/>
              </w:rPr>
              <m:t>l</m:t>
            </m:r>
          </m:sup>
        </m:sSup>
      </m:oMath>
      <w:r w:rsidRPr="00637A2E">
        <w:rPr>
          <w:bCs/>
          <w:lang w:val="sl-SI"/>
        </w:rPr>
        <w:t>)</w:t>
      </w:r>
      <w:r w:rsidRPr="00637A2E">
        <w:rPr>
          <w:lang w:val="sl-SI"/>
        </w:rPr>
        <w:t>, dohodek iz premoženja (</w:t>
      </w:r>
      <m:oMath>
        <m:sSup>
          <m:sSupPr>
            <m:ctrlPr>
              <w:rPr>
                <w:rFonts w:ascii="Cambria Math" w:hAnsi="Cambria Math"/>
                <w:bCs/>
                <w:i/>
                <w:lang w:val="sl-SI"/>
              </w:rPr>
            </m:ctrlPr>
          </m:sSupPr>
          <m:e>
            <m:r>
              <w:rPr>
                <w:rFonts w:ascii="Cambria Math" w:hAnsi="Cambria Math"/>
                <w:lang w:val="sl-SI"/>
              </w:rPr>
              <m:t>Y</m:t>
            </m:r>
          </m:e>
          <m:sup>
            <m:r>
              <w:rPr>
                <w:rFonts w:ascii="Cambria Math" w:hAnsi="Cambria Math"/>
                <w:lang w:val="sl-SI"/>
              </w:rPr>
              <m:t>A</m:t>
            </m:r>
          </m:sup>
        </m:sSup>
      </m:oMath>
      <w:r w:rsidRPr="00637A2E">
        <w:rPr>
          <w:lang w:val="sl-SI"/>
        </w:rPr>
        <w:t>) in prilive transferjev (</w:t>
      </w:r>
      <m:oMath>
        <m:sSup>
          <m:sSupPr>
            <m:ctrlPr>
              <w:rPr>
                <w:rFonts w:ascii="Cambria Math" w:hAnsi="Cambria Math"/>
                <w:bCs/>
                <w:i/>
                <w:lang w:val="sl-SI"/>
              </w:rPr>
            </m:ctrlPr>
          </m:sSupPr>
          <m:e>
            <m:r>
              <w:rPr>
                <w:rFonts w:ascii="Cambria Math" w:hAnsi="Cambria Math"/>
                <w:lang w:val="sl-SI"/>
              </w:rPr>
              <m:t>τ</m:t>
            </m:r>
          </m:e>
          <m:sup>
            <m:r>
              <w:rPr>
                <w:rFonts w:ascii="Cambria Math" w:hAnsi="Cambria Math"/>
                <w:lang w:val="sl-SI"/>
              </w:rPr>
              <m:t>+</m:t>
            </m:r>
          </m:sup>
        </m:sSup>
      </m:oMath>
      <w:r w:rsidRPr="00637A2E">
        <w:rPr>
          <w:bCs/>
          <w:lang w:val="sl-SI"/>
        </w:rPr>
        <w:t>)</w:t>
      </w:r>
      <w:r w:rsidRPr="00637A2E">
        <w:rPr>
          <w:lang w:val="sl-SI"/>
        </w:rPr>
        <w:t xml:space="preserve">; med odlive </w:t>
      </w:r>
      <w:r w:rsidRPr="00637A2E">
        <w:rPr>
          <w:lang w:val="sl-SI"/>
        </w:rPr>
        <w:lastRenderedPageBreak/>
        <w:t>pa potrošnjo (</w:t>
      </w:r>
      <m:oMath>
        <m:r>
          <w:rPr>
            <w:rFonts w:ascii="Cambria Math" w:hAnsi="Cambria Math"/>
            <w:lang w:val="sl-SI"/>
          </w:rPr>
          <m:t>C</m:t>
        </m:r>
      </m:oMath>
      <w:r w:rsidRPr="00637A2E">
        <w:rPr>
          <w:lang w:val="sl-SI"/>
        </w:rPr>
        <w:t>), odlive transferjev (</w:t>
      </w:r>
      <m:oMath>
        <m:sSup>
          <m:sSupPr>
            <m:ctrlPr>
              <w:rPr>
                <w:rFonts w:ascii="Cambria Math" w:hAnsi="Cambria Math"/>
                <w:bCs/>
                <w:i/>
                <w:lang w:val="sl-SI"/>
              </w:rPr>
            </m:ctrlPr>
          </m:sSupPr>
          <m:e>
            <m:r>
              <w:rPr>
                <w:rFonts w:ascii="Cambria Math" w:hAnsi="Cambria Math"/>
                <w:lang w:val="sl-SI"/>
              </w:rPr>
              <m:t>τ</m:t>
            </m:r>
          </m:e>
          <m:sup>
            <m:r>
              <w:rPr>
                <w:rFonts w:ascii="Cambria Math" w:hAnsi="Cambria Math"/>
                <w:lang w:val="sl-SI"/>
              </w:rPr>
              <m:t>-</m:t>
            </m:r>
          </m:sup>
        </m:sSup>
      </m:oMath>
      <w:r w:rsidRPr="00637A2E">
        <w:rPr>
          <w:bCs/>
          <w:lang w:val="sl-SI"/>
        </w:rPr>
        <w:t>)</w:t>
      </w:r>
      <w:r w:rsidRPr="00637A2E">
        <w:rPr>
          <w:lang w:val="sl-SI"/>
        </w:rPr>
        <w:t xml:space="preserve"> in varčevanje (</w:t>
      </w:r>
      <m:oMath>
        <m:r>
          <w:rPr>
            <w:rFonts w:ascii="Cambria Math" w:hAnsi="Cambria Math"/>
            <w:lang w:val="sl-SI"/>
          </w:rPr>
          <m:t>S</m:t>
        </m:r>
      </m:oMath>
      <w:r w:rsidRPr="00637A2E">
        <w:rPr>
          <w:lang w:val="sl-SI"/>
        </w:rPr>
        <w:t>). S preureditvijo členov dobimo naslednjo računovodsko identiteto</w:t>
      </w:r>
      <w:r w:rsidR="00381CB4">
        <w:rPr>
          <w:lang w:val="sl-SI"/>
        </w:rPr>
        <w:t xml:space="preserve"> </w:t>
      </w:r>
      <w:r w:rsidR="00381CB4" w:rsidRPr="00381CB4">
        <w:rPr>
          <w:lang w:val="sl-SI"/>
        </w:rPr>
        <w:t>[2]</w:t>
      </w:r>
      <w:r w:rsidRPr="00637A2E">
        <w:rPr>
          <w:lang w:val="sl-SI"/>
        </w:rPr>
        <w:t>:</w:t>
      </w:r>
    </w:p>
    <w:tbl>
      <w:tblPr>
        <w:tblStyle w:val="TableGrid"/>
        <w:tblW w:w="190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573"/>
        <w:gridCol w:w="4573"/>
        <w:gridCol w:w="4573"/>
        <w:gridCol w:w="313"/>
      </w:tblGrid>
      <w:tr w:rsidR="00EC1A32" w:rsidRPr="00637A2E" w14:paraId="7148F83E" w14:textId="77777777" w:rsidTr="00EC1A32">
        <w:tc>
          <w:tcPr>
            <w:tcW w:w="1229" w:type="pct"/>
          </w:tcPr>
          <w:p w14:paraId="42C78F4B" w14:textId="0A4D1B0D" w:rsidR="00EC1A32" w:rsidRPr="00EC1A32" w:rsidRDefault="009E36E2" w:rsidP="00EC1A32">
            <w:pPr>
              <w:spacing w:before="120" w:after="120" w:line="259" w:lineRule="auto"/>
              <w:jc w:val="center"/>
              <w:rPr>
                <w:sz w:val="20"/>
                <w:lang w:val="de-AT"/>
              </w:rPr>
            </w:pPr>
            <m:oMath>
              <m:limLow>
                <m:limLowPr>
                  <m:ctrlPr>
                    <w:rPr>
                      <w:rFonts w:ascii="Cambria Math" w:hAnsi="Cambria Math"/>
                      <w:i/>
                      <w:sz w:val="20"/>
                    </w:rPr>
                  </m:ctrlPr>
                </m:limLowPr>
                <m:e>
                  <m:groupChr>
                    <m:groupChrPr>
                      <m:ctrlPr>
                        <w:rPr>
                          <w:rFonts w:ascii="Cambria Math" w:hAnsi="Cambria Math"/>
                          <w:i/>
                          <w:sz w:val="20"/>
                        </w:rPr>
                      </m:ctrlPr>
                    </m:groupChrPr>
                    <m:e>
                      <m:r>
                        <w:rPr>
                          <w:rFonts w:ascii="Cambria Math" w:hAnsi="Cambria Math"/>
                          <w:sz w:val="20"/>
                        </w:rPr>
                        <m:t>C</m:t>
                      </m:r>
                      <m:d>
                        <m:dPr>
                          <m:ctrlPr>
                            <w:rPr>
                              <w:rFonts w:ascii="Cambria Math" w:hAnsi="Cambria Math"/>
                              <w:i/>
                              <w:sz w:val="20"/>
                            </w:rPr>
                          </m:ctrlPr>
                        </m:dPr>
                        <m:e>
                          <m:r>
                            <w:rPr>
                              <w:rFonts w:ascii="Cambria Math" w:hAnsi="Cambria Math"/>
                              <w:sz w:val="20"/>
                            </w:rPr>
                            <m:t>x</m:t>
                          </m:r>
                        </m:e>
                      </m:d>
                      <m:r>
                        <w:rPr>
                          <w:rFonts w:ascii="Cambria Math" w:hAnsi="Cambria Math"/>
                          <w:sz w:val="20"/>
                          <w:lang w:val="de-AT"/>
                        </w:rPr>
                        <m:t>-</m:t>
                      </m:r>
                      <m:sSup>
                        <m:sSupPr>
                          <m:ctrlPr>
                            <w:rPr>
                              <w:rFonts w:ascii="Cambria Math" w:hAnsi="Cambria Math"/>
                              <w:bCs/>
                              <w:i/>
                              <w:sz w:val="20"/>
                            </w:rPr>
                          </m:ctrlPr>
                        </m:sSupPr>
                        <m:e>
                          <m:r>
                            <w:rPr>
                              <w:rFonts w:ascii="Cambria Math" w:hAnsi="Cambria Math"/>
                              <w:sz w:val="20"/>
                            </w:rPr>
                            <m:t>Y</m:t>
                          </m:r>
                        </m:e>
                        <m:sup>
                          <m:r>
                            <w:rPr>
                              <w:rFonts w:ascii="Cambria Math" w:hAnsi="Cambria Math"/>
                              <w:sz w:val="20"/>
                            </w:rPr>
                            <m:t>l</m:t>
                          </m:r>
                        </m:sup>
                      </m:sSup>
                      <m:d>
                        <m:dPr>
                          <m:ctrlPr>
                            <w:rPr>
                              <w:rFonts w:ascii="Cambria Math" w:hAnsi="Cambria Math"/>
                              <w:i/>
                              <w:sz w:val="20"/>
                            </w:rPr>
                          </m:ctrlPr>
                        </m:dPr>
                        <m:e>
                          <m:r>
                            <w:rPr>
                              <w:rFonts w:ascii="Cambria Math" w:hAnsi="Cambria Math"/>
                              <w:sz w:val="20"/>
                            </w:rPr>
                            <m:t>x</m:t>
                          </m:r>
                        </m:e>
                      </m:d>
                      <m:r>
                        <w:rPr>
                          <w:rFonts w:ascii="Cambria Math" w:hAnsi="Cambria Math"/>
                          <w:sz w:val="20"/>
                          <w:lang w:val="de-AT"/>
                        </w:rPr>
                        <m:t xml:space="preserve">  </m:t>
                      </m:r>
                    </m:e>
                  </m:groupChr>
                </m:e>
                <m:lim>
                  <m:r>
                    <w:rPr>
                      <w:rFonts w:ascii="Cambria Math" w:hAnsi="Cambria Math"/>
                      <w:sz w:val="20"/>
                    </w:rPr>
                    <m:t>Primankljaj</m:t>
                  </m:r>
                  <m:r>
                    <w:rPr>
                      <w:rFonts w:ascii="Cambria Math" w:hAnsi="Cambria Math"/>
                      <w:sz w:val="20"/>
                      <w:lang w:val="de-AT"/>
                    </w:rPr>
                    <m:t xml:space="preserve"> ž</m:t>
                  </m:r>
                  <m:r>
                    <w:rPr>
                      <w:rFonts w:ascii="Cambria Math" w:hAnsi="Cambria Math"/>
                      <w:sz w:val="20"/>
                    </w:rPr>
                    <m:t>ivljenjskega</m:t>
                  </m:r>
                  <m:r>
                    <w:rPr>
                      <w:rFonts w:ascii="Cambria Math" w:hAnsi="Cambria Math"/>
                      <w:sz w:val="20"/>
                      <w:lang w:val="de-AT"/>
                    </w:rPr>
                    <m:t xml:space="preserve"> </m:t>
                  </m:r>
                  <m:r>
                    <w:rPr>
                      <w:rFonts w:ascii="Cambria Math" w:hAnsi="Cambria Math"/>
                      <w:sz w:val="20"/>
                    </w:rPr>
                    <m:t>cikla</m:t>
                  </m:r>
                </m:lim>
              </m:limLow>
              <m:r>
                <w:rPr>
                  <w:rFonts w:ascii="Cambria Math" w:hAnsi="Cambria Math"/>
                  <w:sz w:val="20"/>
                  <w:lang w:val="de-AT"/>
                </w:rPr>
                <m:t>=</m:t>
              </m:r>
            </m:oMath>
            <w:r w:rsidR="00EC1A32" w:rsidRPr="00EC1A32">
              <w:rPr>
                <w:sz w:val="20"/>
                <w:lang w:val="de-AT"/>
              </w:rPr>
              <w:t xml:space="preserve"> </w:t>
            </w:r>
            <m:oMath>
              <m:r>
                <w:rPr>
                  <w:rFonts w:ascii="Cambria Math" w:hAnsi="Cambria Math"/>
                  <w:sz w:val="20"/>
                  <w:lang w:val="de-AT"/>
                </w:rPr>
                <m:t xml:space="preserve">    </m:t>
              </m:r>
              <m:limLow>
                <m:limLowPr>
                  <m:ctrlPr>
                    <w:rPr>
                      <w:rFonts w:ascii="Cambria Math" w:hAnsi="Cambria Math"/>
                      <w:i/>
                      <w:sz w:val="20"/>
                    </w:rPr>
                  </m:ctrlPr>
                </m:limLowPr>
                <m:e>
                  <m:groupChr>
                    <m:groupChrPr>
                      <m:ctrlPr>
                        <w:rPr>
                          <w:rFonts w:ascii="Cambria Math" w:hAnsi="Cambria Math"/>
                          <w:i/>
                          <w:sz w:val="20"/>
                        </w:rPr>
                      </m:ctrlPr>
                    </m:groupChrPr>
                    <m:e>
                      <m:sSup>
                        <m:sSupPr>
                          <m:ctrlPr>
                            <w:rPr>
                              <w:rFonts w:ascii="Cambria Math" w:hAnsi="Cambria Math"/>
                              <w:bCs/>
                              <w:i/>
                              <w:sz w:val="20"/>
                            </w:rPr>
                          </m:ctrlPr>
                        </m:sSupPr>
                        <m:e>
                          <m:r>
                            <w:rPr>
                              <w:rFonts w:ascii="Cambria Math" w:hAnsi="Cambria Math"/>
                              <w:sz w:val="20"/>
                            </w:rPr>
                            <m:t>τ</m:t>
                          </m:r>
                        </m:e>
                        <m:sup>
                          <m:r>
                            <w:rPr>
                              <w:rFonts w:ascii="Cambria Math" w:hAnsi="Cambria Math"/>
                              <w:sz w:val="20"/>
                              <w:lang w:val="de-AT"/>
                            </w:rPr>
                            <m:t>+</m:t>
                          </m:r>
                        </m:sup>
                      </m:sSup>
                      <m:d>
                        <m:dPr>
                          <m:ctrlPr>
                            <w:rPr>
                              <w:rFonts w:ascii="Cambria Math" w:hAnsi="Cambria Math"/>
                              <w:i/>
                              <w:sz w:val="20"/>
                            </w:rPr>
                          </m:ctrlPr>
                        </m:dPr>
                        <m:e>
                          <m:r>
                            <w:rPr>
                              <w:rFonts w:ascii="Cambria Math" w:hAnsi="Cambria Math"/>
                              <w:sz w:val="20"/>
                            </w:rPr>
                            <m:t>x</m:t>
                          </m:r>
                        </m:e>
                      </m:d>
                      <m:r>
                        <w:rPr>
                          <w:rFonts w:ascii="Cambria Math" w:hAnsi="Cambria Math"/>
                          <w:sz w:val="20"/>
                          <w:lang w:val="de-AT"/>
                        </w:rPr>
                        <m:t xml:space="preserve">- </m:t>
                      </m:r>
                      <m:sSup>
                        <m:sSupPr>
                          <m:ctrlPr>
                            <w:rPr>
                              <w:rFonts w:ascii="Cambria Math" w:hAnsi="Cambria Math"/>
                              <w:bCs/>
                              <w:i/>
                              <w:sz w:val="20"/>
                            </w:rPr>
                          </m:ctrlPr>
                        </m:sSupPr>
                        <m:e>
                          <m:r>
                            <w:rPr>
                              <w:rFonts w:ascii="Cambria Math" w:hAnsi="Cambria Math"/>
                              <w:sz w:val="20"/>
                            </w:rPr>
                            <m:t>τ</m:t>
                          </m:r>
                        </m:e>
                        <m:sup>
                          <m:r>
                            <w:rPr>
                              <w:rFonts w:ascii="Cambria Math" w:hAnsi="Cambria Math"/>
                              <w:sz w:val="20"/>
                              <w:lang w:val="de-AT"/>
                            </w:rPr>
                            <m:t>-</m:t>
                          </m:r>
                        </m:sup>
                      </m:sSup>
                      <m:d>
                        <m:dPr>
                          <m:ctrlPr>
                            <w:rPr>
                              <w:rFonts w:ascii="Cambria Math" w:hAnsi="Cambria Math"/>
                              <w:i/>
                              <w:sz w:val="20"/>
                            </w:rPr>
                          </m:ctrlPr>
                        </m:dPr>
                        <m:e>
                          <m:r>
                            <w:rPr>
                              <w:rFonts w:ascii="Cambria Math" w:hAnsi="Cambria Math"/>
                              <w:sz w:val="20"/>
                            </w:rPr>
                            <m:t>x</m:t>
                          </m:r>
                        </m:e>
                      </m:d>
                    </m:e>
                  </m:groupChr>
                </m:e>
                <m:lim>
                  <m:r>
                    <w:rPr>
                      <w:rFonts w:ascii="Cambria Math" w:hAnsi="Cambria Math"/>
                      <w:sz w:val="20"/>
                    </w:rPr>
                    <m:t>Neto</m:t>
                  </m:r>
                  <m:r>
                    <w:rPr>
                      <w:rFonts w:ascii="Cambria Math" w:hAnsi="Cambria Math"/>
                      <w:sz w:val="20"/>
                      <w:lang w:val="de-AT"/>
                    </w:rPr>
                    <m:t xml:space="preserve"> </m:t>
                  </m:r>
                  <m:r>
                    <w:rPr>
                      <w:rFonts w:ascii="Cambria Math" w:hAnsi="Cambria Math"/>
                      <w:sz w:val="20"/>
                    </w:rPr>
                    <m:t>transferji</m:t>
                  </m:r>
                </m:lim>
              </m:limLow>
            </m:oMath>
            <w:r w:rsidR="00EC1A32" w:rsidRPr="00EC1A32">
              <w:rPr>
                <w:sz w:val="20"/>
                <w:lang w:val="de-AT"/>
              </w:rPr>
              <w:t xml:space="preserve"> </w:t>
            </w:r>
            <m:oMath>
              <m:r>
                <w:rPr>
                  <w:rFonts w:ascii="Cambria Math" w:hAnsi="Cambria Math"/>
                  <w:sz w:val="20"/>
                  <w:lang w:val="de-AT"/>
                </w:rPr>
                <m:t xml:space="preserve"> +</m:t>
              </m:r>
            </m:oMath>
            <w:r w:rsidR="00EC1A32" w:rsidRPr="00EC1A32">
              <w:rPr>
                <w:sz w:val="20"/>
                <w:lang w:val="de-AT"/>
              </w:rPr>
              <w:t xml:space="preserve"> </w:t>
            </w:r>
            <m:oMath>
              <m:limLow>
                <m:limLowPr>
                  <m:ctrlPr>
                    <w:rPr>
                      <w:rFonts w:ascii="Cambria Math" w:hAnsi="Cambria Math"/>
                      <w:i/>
                      <w:sz w:val="20"/>
                    </w:rPr>
                  </m:ctrlPr>
                </m:limLowPr>
                <m:e>
                  <m:r>
                    <w:rPr>
                      <w:rFonts w:ascii="Cambria Math" w:hAnsi="Cambria Math"/>
                      <w:sz w:val="20"/>
                    </w:rPr>
                    <m:t>+</m:t>
                  </m:r>
                  <m:groupChr>
                    <m:groupChrPr>
                      <m:ctrlPr>
                        <w:rPr>
                          <w:rFonts w:ascii="Cambria Math" w:hAnsi="Cambria Math"/>
                          <w:i/>
                          <w:sz w:val="20"/>
                        </w:rPr>
                      </m:ctrlPr>
                    </m:groupChrPr>
                    <m:e>
                      <m:sSup>
                        <m:sSupPr>
                          <m:ctrlPr>
                            <w:rPr>
                              <w:rFonts w:ascii="Cambria Math" w:hAnsi="Cambria Math"/>
                              <w:bCs/>
                              <w:i/>
                              <w:sz w:val="20"/>
                            </w:rPr>
                          </m:ctrlPr>
                        </m:sSupPr>
                        <m:e>
                          <m:r>
                            <w:rPr>
                              <w:rFonts w:ascii="Cambria Math" w:hAnsi="Cambria Math"/>
                              <w:sz w:val="20"/>
                            </w:rPr>
                            <m:t xml:space="preserve">  Y</m:t>
                          </m:r>
                        </m:e>
                        <m:sup>
                          <m:r>
                            <w:rPr>
                              <w:rFonts w:ascii="Cambria Math" w:hAnsi="Cambria Math"/>
                              <w:sz w:val="20"/>
                            </w:rPr>
                            <m:t>A</m:t>
                          </m:r>
                        </m:sup>
                      </m:sSup>
                      <m:d>
                        <m:dPr>
                          <m:ctrlPr>
                            <w:rPr>
                              <w:rFonts w:ascii="Cambria Math" w:hAnsi="Cambria Math"/>
                              <w:i/>
                              <w:sz w:val="20"/>
                            </w:rPr>
                          </m:ctrlPr>
                        </m:dPr>
                        <m:e>
                          <m:r>
                            <w:rPr>
                              <w:rFonts w:ascii="Cambria Math" w:hAnsi="Cambria Math"/>
                              <w:sz w:val="20"/>
                            </w:rPr>
                            <m:t>x</m:t>
                          </m:r>
                        </m:e>
                      </m:d>
                      <m:r>
                        <w:rPr>
                          <w:rFonts w:ascii="Cambria Math" w:hAnsi="Cambria Math"/>
                          <w:sz w:val="20"/>
                          <w:lang w:val="de-AT"/>
                        </w:rPr>
                        <m:t>-</m:t>
                      </m:r>
                      <m:r>
                        <w:rPr>
                          <w:rFonts w:ascii="Cambria Math" w:hAnsi="Cambria Math"/>
                          <w:sz w:val="20"/>
                        </w:rPr>
                        <m:t>S</m:t>
                      </m:r>
                      <m:d>
                        <m:dPr>
                          <m:ctrlPr>
                            <w:rPr>
                              <w:rFonts w:ascii="Cambria Math" w:hAnsi="Cambria Math"/>
                              <w:i/>
                              <w:sz w:val="20"/>
                              <w:lang w:val="de-AT"/>
                            </w:rPr>
                          </m:ctrlPr>
                        </m:dPr>
                        <m:e>
                          <m:r>
                            <w:rPr>
                              <w:rFonts w:ascii="Cambria Math" w:hAnsi="Cambria Math"/>
                              <w:sz w:val="20"/>
                            </w:rPr>
                            <m:t>x</m:t>
                          </m:r>
                        </m:e>
                      </m:d>
                      <m:r>
                        <w:rPr>
                          <w:rFonts w:ascii="Cambria Math" w:hAnsi="Cambria Math"/>
                          <w:sz w:val="20"/>
                          <w:lang w:val="de-AT"/>
                        </w:rPr>
                        <m:t>.</m:t>
                      </m:r>
                    </m:e>
                  </m:groupChr>
                </m:e>
                <m:lim>
                  <m:r>
                    <w:rPr>
                      <w:rFonts w:ascii="Cambria Math" w:hAnsi="Cambria Math"/>
                      <w:sz w:val="20"/>
                    </w:rPr>
                    <m:t>Prerazdelitev</m:t>
                  </m:r>
                  <m:r>
                    <w:rPr>
                      <w:rFonts w:ascii="Cambria Math" w:hAnsi="Cambria Math"/>
                      <w:sz w:val="20"/>
                      <w:lang w:val="de-AT"/>
                    </w:rPr>
                    <m:t xml:space="preserve"> </m:t>
                  </m:r>
                  <m:r>
                    <w:rPr>
                      <w:rFonts w:ascii="Cambria Math" w:hAnsi="Cambria Math"/>
                      <w:sz w:val="20"/>
                    </w:rPr>
                    <m:t>iz</m:t>
                  </m:r>
                  <m:r>
                    <w:rPr>
                      <w:rFonts w:ascii="Cambria Math" w:hAnsi="Cambria Math"/>
                      <w:sz w:val="20"/>
                      <w:lang w:val="de-AT"/>
                    </w:rPr>
                    <m:t xml:space="preserve"> </m:t>
                  </m:r>
                  <m:r>
                    <w:rPr>
                      <w:rFonts w:ascii="Cambria Math" w:hAnsi="Cambria Math"/>
                      <w:sz w:val="20"/>
                    </w:rPr>
                    <m:t>naslova</m:t>
                  </m:r>
                  <m:r>
                    <w:rPr>
                      <w:rFonts w:ascii="Cambria Math" w:hAnsi="Cambria Math"/>
                      <w:sz w:val="20"/>
                      <w:lang w:val="de-AT"/>
                    </w:rPr>
                    <m:t xml:space="preserve"> </m:t>
                  </m:r>
                  <m:r>
                    <w:rPr>
                      <w:rFonts w:ascii="Cambria Math" w:hAnsi="Cambria Math"/>
                      <w:sz w:val="20"/>
                    </w:rPr>
                    <m:t>sredstev</m:t>
                  </m:r>
                </m:lim>
              </m:limLow>
            </m:oMath>
          </w:p>
        </w:tc>
        <w:tc>
          <w:tcPr>
            <w:tcW w:w="1229" w:type="pct"/>
          </w:tcPr>
          <w:p w14:paraId="46A272BF" w14:textId="77777777" w:rsidR="00EC1A32" w:rsidRPr="00EC1A32" w:rsidRDefault="00EC1A32" w:rsidP="00EC1A32">
            <w:pPr>
              <w:pStyle w:val="StyleBodyTextIndent210ptFirstline0cmRight012cm"/>
              <w:spacing w:before="120" w:after="120"/>
              <w:ind w:right="68" w:firstLine="0"/>
              <w:rPr>
                <w:sz w:val="20"/>
              </w:rPr>
            </w:pPr>
          </w:p>
        </w:tc>
        <w:tc>
          <w:tcPr>
            <w:tcW w:w="1229" w:type="pct"/>
          </w:tcPr>
          <w:p w14:paraId="7CD1103A" w14:textId="79F85359" w:rsidR="00EC1A32" w:rsidRPr="00EC1A32" w:rsidRDefault="00EC1A32" w:rsidP="00EC1A32">
            <w:pPr>
              <w:pStyle w:val="StyleBodyTextIndent210ptFirstline0cmRight012cm"/>
              <w:spacing w:before="120" w:after="120"/>
              <w:ind w:right="68" w:firstLine="0"/>
              <w:rPr>
                <w:sz w:val="20"/>
                <w:lang w:val="de-AT"/>
              </w:rPr>
            </w:pPr>
            <w:r w:rsidRPr="00EC1A32">
              <w:rPr>
                <w:sz w:val="20"/>
              </w:rPr>
              <w:t>(1)</w:t>
            </w:r>
          </w:p>
        </w:tc>
        <w:tc>
          <w:tcPr>
            <w:tcW w:w="1229" w:type="pct"/>
          </w:tcPr>
          <w:p w14:paraId="64C41B5B" w14:textId="07938E52" w:rsidR="00EC1A32" w:rsidRPr="00637A2E" w:rsidRDefault="00EC1A32" w:rsidP="00EC1A32">
            <w:pPr>
              <w:pStyle w:val="StyleBodyTextIndent210ptFirstline0cmRight012cm"/>
              <w:spacing w:before="120" w:after="120"/>
              <w:ind w:right="68" w:firstLine="0"/>
              <w:rPr>
                <w:lang w:val="de-AT"/>
              </w:rPr>
            </w:pPr>
          </w:p>
        </w:tc>
        <w:tc>
          <w:tcPr>
            <w:tcW w:w="84" w:type="pct"/>
            <w:hideMark/>
          </w:tcPr>
          <w:p w14:paraId="525A67B2" w14:textId="7D07E50B" w:rsidR="00EC1A32" w:rsidRPr="00637A2E" w:rsidRDefault="00EC1A32" w:rsidP="00EC1A32">
            <w:pPr>
              <w:pStyle w:val="StyleBodyTextIndent210ptFirstline0cmRight012cm"/>
              <w:spacing w:before="60"/>
              <w:ind w:right="68"/>
              <w:rPr>
                <w:lang w:val="en-GB"/>
              </w:rPr>
            </w:pPr>
          </w:p>
        </w:tc>
      </w:tr>
    </w:tbl>
    <w:p w14:paraId="176867E6" w14:textId="1BF88D04" w:rsidR="00637A2E" w:rsidRPr="00637A2E" w:rsidRDefault="00637A2E" w:rsidP="00637A2E">
      <w:pPr>
        <w:pStyle w:val="StyleBodyTextIndent210ptFirstline0cmRight012cm"/>
        <w:spacing w:before="60"/>
        <w:ind w:right="68"/>
        <w:rPr>
          <w:lang w:val="sl-SI"/>
        </w:rPr>
      </w:pPr>
      <w:r w:rsidRPr="00637A2E">
        <w:rPr>
          <w:lang w:val="sl-SI"/>
        </w:rPr>
        <w:t>Otroci in starejši se soočajo s pozitivnim primanjkljajem življenjskega cikla (</w:t>
      </w:r>
      <w:r w:rsidR="00604E0C">
        <w:rPr>
          <w:lang w:val="sl-SI"/>
        </w:rPr>
        <w:t>ki je opredeljen</w:t>
      </w:r>
      <w:r w:rsidR="00604E0C" w:rsidRPr="00637A2E">
        <w:rPr>
          <w:lang w:val="sl-SI"/>
        </w:rPr>
        <w:t xml:space="preserve"> </w:t>
      </w:r>
      <w:r w:rsidRPr="00637A2E">
        <w:rPr>
          <w:lang w:val="sl-SI"/>
        </w:rPr>
        <w:t xml:space="preserve">kot razlika med javno in zasebno potrošnjo ter delovnim dohodkom). Primanjkljaj življenjskega cikla določa njihovo ekonomsko odvisnost. Na drugi strani, v času delovne aktivnosti, delovni dohodek presega potrošnjo, kar vodi v negativen primanjkljaj življenjskega cikla, tj. presežek življenjskega cikla. Presežek življenjskega cikla omogoča zaposlenim financiranje primanjkljaja življenjskega cikla </w:t>
      </w:r>
      <w:r w:rsidR="00604E0C">
        <w:rPr>
          <w:lang w:val="sl-SI"/>
        </w:rPr>
        <w:t xml:space="preserve">ekonomsko </w:t>
      </w:r>
      <w:r w:rsidRPr="00637A2E">
        <w:rPr>
          <w:lang w:val="sl-SI"/>
        </w:rPr>
        <w:t xml:space="preserve">odvisnega prebivalstva. Ekonomska odvisnost se financira z različnimi oblikami medgeneracijskih tokov: </w:t>
      </w:r>
      <w:r w:rsidR="00604E0C">
        <w:rPr>
          <w:lang w:val="sl-SI"/>
        </w:rPr>
        <w:t xml:space="preserve">javni </w:t>
      </w:r>
      <w:r w:rsidRPr="00637A2E">
        <w:rPr>
          <w:lang w:val="sl-SI"/>
        </w:rPr>
        <w:t>neto transferji (prilivi minus odlivi transferjev)</w:t>
      </w:r>
      <w:r w:rsidR="00604E0C">
        <w:rPr>
          <w:lang w:val="sl-SI"/>
        </w:rPr>
        <w:t>, zasebni neto transferji</w:t>
      </w:r>
      <w:r w:rsidRPr="00637A2E">
        <w:rPr>
          <w:lang w:val="sl-SI"/>
        </w:rPr>
        <w:t xml:space="preserve"> in </w:t>
      </w:r>
      <w:r w:rsidR="00604E0C">
        <w:rPr>
          <w:lang w:val="sl-SI"/>
        </w:rPr>
        <w:t>prerazdeljevanjem</w:t>
      </w:r>
      <w:r w:rsidR="00604E0C" w:rsidRPr="00637A2E">
        <w:rPr>
          <w:lang w:val="sl-SI"/>
        </w:rPr>
        <w:t xml:space="preserve"> </w:t>
      </w:r>
      <w:r w:rsidRPr="00637A2E">
        <w:rPr>
          <w:lang w:val="sl-SI"/>
        </w:rPr>
        <w:t>iz naslova sredstev (dohodek iz premoženja minus varčevanje).</w:t>
      </w:r>
      <w:r w:rsidRPr="00637A2E">
        <w:rPr>
          <w:lang w:val="sl-SI"/>
        </w:rPr>
        <w:tab/>
      </w:r>
    </w:p>
    <w:p w14:paraId="1B66A252" w14:textId="286C1093" w:rsidR="00637A2E" w:rsidRPr="00637A2E" w:rsidRDefault="00862215" w:rsidP="00637A2E">
      <w:pPr>
        <w:pStyle w:val="StyleBodyTextIndent210ptFirstline0cmRight012cm"/>
        <w:spacing w:before="60"/>
        <w:ind w:right="68"/>
        <w:rPr>
          <w:lang w:val="sl-SI"/>
        </w:rPr>
      </w:pPr>
      <w:r>
        <w:rPr>
          <w:lang w:val="sl-SI"/>
        </w:rPr>
        <w:t xml:space="preserve">Za analizo </w:t>
      </w:r>
      <w:r w:rsidR="00637A2E" w:rsidRPr="00593385">
        <w:rPr>
          <w:lang w:val="sl-SI"/>
        </w:rPr>
        <w:t xml:space="preserve">ekonomske odvisnosti </w:t>
      </w:r>
      <w:r>
        <w:rPr>
          <w:lang w:val="sl-SI"/>
        </w:rPr>
        <w:t xml:space="preserve">je potrebno oceniti </w:t>
      </w:r>
      <w:r w:rsidR="00637A2E" w:rsidRPr="00593385">
        <w:rPr>
          <w:lang w:val="sl-SI"/>
        </w:rPr>
        <w:t>številne starostne profile. Starostni profili so starostni vzorci (povprečja) nadalje razčlenjenih spremenljivk, vključenih</w:t>
      </w:r>
      <w:r w:rsidR="00637A2E" w:rsidRPr="00637A2E">
        <w:rPr>
          <w:lang w:val="sl-SI"/>
        </w:rPr>
        <w:t xml:space="preserve"> v računovodsko identiteto. V prvem koraku s pomočjo SNA in drugih podobnih podatkovnih virov izračunamo agregatne vrednosti posameznih spremenljivk. V drugem koraku izračunamo relativno porazdelitev določene spremenljivke po starostnih skupinah s pomočjo anketnih in/ali administrativnih podatkov. Starostne profile iz drugega koraka pomnožimo z ustreznim faktorjem prilagajanja (angl. </w:t>
      </w:r>
      <w:r w:rsidR="00637A2E" w:rsidRPr="00637A2E">
        <w:rPr>
          <w:i/>
          <w:lang w:val="sl-SI"/>
        </w:rPr>
        <w:t>adjustment factor</w:t>
      </w:r>
      <w:r w:rsidR="00637A2E" w:rsidRPr="00637A2E">
        <w:rPr>
          <w:lang w:val="sl-SI"/>
        </w:rPr>
        <w:t>), tako da se starostni profili, pomnoženi s starostno strukturo prebivalstva, ujemajo z agregatnimi vrednostmi iz prvega koraka. Večina starostnih profilov je izglajena; na ta način izločimo vpliv posledic slučajnih dejavnikov v vzorčnih podatkih</w:t>
      </w:r>
      <w:r w:rsidR="009A7D13">
        <w:rPr>
          <w:lang w:val="sl-SI"/>
        </w:rPr>
        <w:t xml:space="preserve"> [4]</w:t>
      </w:r>
      <w:r w:rsidR="00637A2E" w:rsidRPr="00637A2E">
        <w:rPr>
          <w:lang w:val="sl-SI"/>
        </w:rPr>
        <w:t>. Rezultati NTA so torej presečni rezultati, pridobljeni s pomočjo sekundarnih virov podatkov. Za ocenjevanje retrospektivnega NTA za Slovenijo so uporabljeni mikropodatki iz Ankete o porabi gospodinjstev za leta 2000, 2003, 2005, 2008, 2010 in 2012.</w:t>
      </w:r>
    </w:p>
    <w:p w14:paraId="4B6DED5E" w14:textId="21642F39" w:rsidR="00637A2E" w:rsidRPr="00637A2E" w:rsidRDefault="00637A2E" w:rsidP="00637A2E">
      <w:pPr>
        <w:pStyle w:val="StyleBodyTextIndent210ptFirstline0cmRight012cm"/>
        <w:spacing w:before="60"/>
        <w:ind w:right="68"/>
        <w:rPr>
          <w:lang w:val="sl-SI"/>
        </w:rPr>
      </w:pPr>
      <w:r w:rsidRPr="00637A2E">
        <w:rPr>
          <w:lang w:val="sl-SI"/>
        </w:rPr>
        <w:t>NTA po spolu so ocenjeni podobno kot običajni NTA. Kadar so starostni profili izračunani na podlagi anketnih podatkov, je edina razlika</w:t>
      </w:r>
      <w:r w:rsidR="00862215">
        <w:rPr>
          <w:lang w:val="sl-SI"/>
        </w:rPr>
        <w:t xml:space="preserve"> ta</w:t>
      </w:r>
      <w:r w:rsidRPr="00637A2E">
        <w:rPr>
          <w:lang w:val="sl-SI"/>
        </w:rPr>
        <w:t xml:space="preserve">, da moramo poleg povprečij po starostnih skupinah izračunati tudi povprečja po spolu. Starostni profili so prilagojeni na način, da se zagotovi skladnost z makroekonomskimi agregati in tudi s starostnimi </w:t>
      </w:r>
      <w:r w:rsidRPr="00593385">
        <w:rPr>
          <w:lang w:val="sl-SI"/>
        </w:rPr>
        <w:t xml:space="preserve">profili </w:t>
      </w:r>
      <w:r w:rsidR="00593385" w:rsidRPr="00593385">
        <w:rPr>
          <w:lang w:val="sl-SI"/>
        </w:rPr>
        <w:t xml:space="preserve">običajne analize </w:t>
      </w:r>
      <w:r w:rsidR="00593385" w:rsidRPr="00593385">
        <w:rPr>
          <w:lang w:val="sl-SI"/>
        </w:rPr>
        <w:lastRenderedPageBreak/>
        <w:t>NTA</w:t>
      </w:r>
      <w:r w:rsidR="009A7D13" w:rsidRPr="00593385">
        <w:rPr>
          <w:lang w:val="sl-SI"/>
        </w:rPr>
        <w:t xml:space="preserve"> [1]</w:t>
      </w:r>
      <w:r w:rsidRPr="00593385">
        <w:rPr>
          <w:lang w:val="sl-SI"/>
        </w:rPr>
        <w:t xml:space="preserve">. </w:t>
      </w:r>
      <w:r w:rsidR="0042735A" w:rsidRPr="00593385">
        <w:rPr>
          <w:lang w:val="sl-SI"/>
        </w:rPr>
        <w:t>V članku p</w:t>
      </w:r>
      <w:r w:rsidRPr="00593385">
        <w:rPr>
          <w:lang w:val="sl-SI"/>
        </w:rPr>
        <w:t>oleg grafične predstavitve razlik</w:t>
      </w:r>
      <w:r w:rsidRPr="00637A2E">
        <w:rPr>
          <w:lang w:val="sl-SI"/>
        </w:rPr>
        <w:t xml:space="preserve"> v potrošnji, delovnem dohodku in primanjkljaju življenjskega cikla prikazujemo tudi rezultate dveh </w:t>
      </w:r>
      <w:r w:rsidR="00862215">
        <w:rPr>
          <w:lang w:val="sl-SI"/>
        </w:rPr>
        <w:t>kazalnikov</w:t>
      </w:r>
      <w:r w:rsidRPr="00637A2E">
        <w:rPr>
          <w:lang w:val="sl-SI"/>
        </w:rPr>
        <w:t>, ki kažeta razlike v ekonomski odvisnosti med</w:t>
      </w:r>
      <w:r w:rsidR="0042735A">
        <w:rPr>
          <w:lang w:val="sl-SI"/>
        </w:rPr>
        <w:t xml:space="preserve"> spoloma, in sicer (1) absolutno razliko</w:t>
      </w:r>
      <w:r w:rsidRPr="00637A2E">
        <w:rPr>
          <w:lang w:val="sl-SI"/>
        </w:rPr>
        <w:t xml:space="preserve"> v dolžini ekonomske neodvisnosti </w:t>
      </w:r>
      <w:r w:rsidR="0042735A">
        <w:rPr>
          <w:lang w:val="sl-SI"/>
        </w:rPr>
        <w:t xml:space="preserve">med obema spoloma in (2) </w:t>
      </w:r>
      <w:r w:rsidR="0042735A" w:rsidRPr="00593385">
        <w:rPr>
          <w:lang w:val="sl-SI"/>
        </w:rPr>
        <w:t>razliko</w:t>
      </w:r>
      <w:r w:rsidRPr="00593385">
        <w:rPr>
          <w:lang w:val="sl-SI"/>
        </w:rPr>
        <w:t xml:space="preserve"> v </w:t>
      </w:r>
      <w:r w:rsidR="00022B52" w:rsidRPr="00593385">
        <w:rPr>
          <w:lang w:val="sl-SI"/>
        </w:rPr>
        <w:t>obsegu</w:t>
      </w:r>
      <w:r w:rsidRPr="00593385">
        <w:rPr>
          <w:lang w:val="sl-SI"/>
        </w:rPr>
        <w:t xml:space="preserve"> </w:t>
      </w:r>
      <w:r w:rsidR="0042735A" w:rsidRPr="00593385">
        <w:rPr>
          <w:lang w:val="sl-SI"/>
        </w:rPr>
        <w:t>ekonomske odvisnosti</w:t>
      </w:r>
      <w:r w:rsidRPr="00637A2E">
        <w:rPr>
          <w:lang w:val="sl-SI"/>
        </w:rPr>
        <w:t xml:space="preserve"> med spoloma</w:t>
      </w:r>
      <w:r w:rsidR="0042735A">
        <w:rPr>
          <w:lang w:val="sl-SI"/>
        </w:rPr>
        <w:t>, prilagojeno</w:t>
      </w:r>
      <w:r w:rsidRPr="00637A2E">
        <w:rPr>
          <w:lang w:val="sl-SI"/>
        </w:rPr>
        <w:t xml:space="preserve"> za velikost delovnega dohodka celotne populacije. </w:t>
      </w:r>
    </w:p>
    <w:p w14:paraId="5EDC644B" w14:textId="77777777" w:rsidR="00FC5819" w:rsidRDefault="00FC5819" w:rsidP="003003A4">
      <w:pPr>
        <w:pStyle w:val="StyleBodyTextIndent210ptFirstline0cmRight012cm"/>
        <w:spacing w:before="60"/>
        <w:ind w:right="68"/>
        <w:rPr>
          <w:lang w:val="sl-SI"/>
        </w:rPr>
      </w:pPr>
    </w:p>
    <w:p w14:paraId="1BEEA336" w14:textId="7213009A" w:rsidR="00637A2E" w:rsidRDefault="00AD7177" w:rsidP="003003A4">
      <w:pPr>
        <w:pStyle w:val="StyleBodyTextIndent210ptFirstline0cmRight012cm"/>
        <w:spacing w:before="60"/>
        <w:ind w:right="68" w:firstLine="0"/>
        <w:rPr>
          <w:b/>
          <w:szCs w:val="22"/>
          <w:lang w:val="sl-SI"/>
        </w:rPr>
      </w:pPr>
      <w:r w:rsidRPr="00F06E71">
        <w:rPr>
          <w:b/>
          <w:szCs w:val="22"/>
          <w:lang w:val="sl-SI"/>
        </w:rPr>
        <w:t xml:space="preserve">3 REZULTATI </w:t>
      </w:r>
    </w:p>
    <w:p w14:paraId="5A276AB7" w14:textId="67F1C86D" w:rsidR="00637A2E" w:rsidRPr="00637A2E" w:rsidRDefault="00637A2E" w:rsidP="00637A2E">
      <w:pPr>
        <w:pStyle w:val="StyleBodyTextIndent210ptFirstline0cmRight012cm"/>
        <w:spacing w:before="60"/>
        <w:ind w:right="68"/>
        <w:rPr>
          <w:szCs w:val="22"/>
          <w:lang w:val="sl-SI"/>
        </w:rPr>
      </w:pPr>
      <w:r w:rsidRPr="00637A2E">
        <w:rPr>
          <w:szCs w:val="22"/>
          <w:lang w:val="sl-SI"/>
        </w:rPr>
        <w:t>Slika 1 prikazuje dohodek iz dela in (javno ter zasebno) potrošnjo obeh spolov. Iz slike je razvidno, da ima delovni dohodek moških in žensk v celotnem obdobju med letoma 2000 in 2012 v Sloveniji tipično obliko obrnjene U-krivulje, vendar med spoloma obstajajo velike razlike v vrednost</w:t>
      </w:r>
      <w:r w:rsidR="00E90E06">
        <w:rPr>
          <w:szCs w:val="22"/>
          <w:lang w:val="sl-SI"/>
        </w:rPr>
        <w:t>i</w:t>
      </w:r>
      <w:r w:rsidRPr="00637A2E">
        <w:rPr>
          <w:szCs w:val="22"/>
          <w:lang w:val="sl-SI"/>
        </w:rPr>
        <w:t xml:space="preserve"> delovnega dohodka pri vseh starostih. Delovni dohodek žensk začne naraščati kasneje kot delovni dohodek moških predvsem zaradi višje stopnje vpisa žensk v terciarno izobraževanje. Tudi </w:t>
      </w:r>
      <w:r w:rsidR="00862215">
        <w:rPr>
          <w:szCs w:val="22"/>
          <w:lang w:val="sl-SI"/>
        </w:rPr>
        <w:t>v delovni starosti</w:t>
      </w:r>
      <w:r w:rsidRPr="00637A2E">
        <w:rPr>
          <w:szCs w:val="22"/>
          <w:lang w:val="sl-SI"/>
        </w:rPr>
        <w:t xml:space="preserve"> je dohodek žensk nižji od dohodka moških, in sicer predvsem zaradi njihove nižje stopnje vključenosti na trg dela in rahlo nižjih plač žensk v primerjavi </w:t>
      </w:r>
      <w:r w:rsidR="00862215">
        <w:rPr>
          <w:szCs w:val="22"/>
          <w:lang w:val="sl-SI"/>
        </w:rPr>
        <w:t>z</w:t>
      </w:r>
      <w:r w:rsidR="00862215" w:rsidRPr="00637A2E">
        <w:rPr>
          <w:szCs w:val="22"/>
          <w:lang w:val="sl-SI"/>
        </w:rPr>
        <w:t xml:space="preserve"> </w:t>
      </w:r>
      <w:r w:rsidRPr="00637A2E">
        <w:rPr>
          <w:szCs w:val="22"/>
          <w:lang w:val="sl-SI"/>
        </w:rPr>
        <w:t>moškimi</w:t>
      </w:r>
      <w:r w:rsidR="00862215">
        <w:rPr>
          <w:szCs w:val="22"/>
          <w:lang w:val="sl-SI"/>
        </w:rPr>
        <w:t xml:space="preserve"> v primeru zaposlitve za polni delovni čas</w:t>
      </w:r>
      <w:r w:rsidRPr="00637A2E">
        <w:rPr>
          <w:szCs w:val="22"/>
          <w:lang w:val="sl-SI"/>
        </w:rPr>
        <w:t xml:space="preserve">. </w:t>
      </w:r>
      <w:r w:rsidR="00862215">
        <w:rPr>
          <w:szCs w:val="22"/>
          <w:lang w:val="sl-SI"/>
        </w:rPr>
        <w:t>V višji starosti začne d</w:t>
      </w:r>
      <w:r w:rsidR="00862215" w:rsidRPr="00637A2E">
        <w:rPr>
          <w:szCs w:val="22"/>
          <w:lang w:val="sl-SI"/>
        </w:rPr>
        <w:t xml:space="preserve">elovni </w:t>
      </w:r>
      <w:r w:rsidRPr="00637A2E">
        <w:rPr>
          <w:szCs w:val="22"/>
          <w:lang w:val="sl-SI"/>
        </w:rPr>
        <w:t xml:space="preserve">dohodek žensk padati hitreje kot delovni dohodek moških, saj se v povprečju </w:t>
      </w:r>
      <w:r w:rsidRPr="00593385">
        <w:rPr>
          <w:szCs w:val="22"/>
          <w:lang w:val="sl-SI"/>
        </w:rPr>
        <w:t xml:space="preserve">ženske upokojujejo hitreje kakor moški. Ne glede na to, da ženske </w:t>
      </w:r>
      <w:r w:rsidR="00CB2F38" w:rsidRPr="00593385">
        <w:rPr>
          <w:szCs w:val="22"/>
          <w:lang w:val="sl-SI"/>
        </w:rPr>
        <w:t xml:space="preserve">vseh starosti </w:t>
      </w:r>
      <w:r w:rsidRPr="00593385">
        <w:rPr>
          <w:szCs w:val="22"/>
          <w:lang w:val="sl-SI"/>
        </w:rPr>
        <w:t xml:space="preserve">zaslužijo manj kot moški, je pri praktično vseh starostih njihova potrošnja višja od potrošnje moških. Razlika med spoloma v </w:t>
      </w:r>
      <w:r w:rsidR="00CB2F38" w:rsidRPr="00593385">
        <w:rPr>
          <w:szCs w:val="22"/>
          <w:lang w:val="sl-SI"/>
        </w:rPr>
        <w:t>ravni</w:t>
      </w:r>
      <w:r w:rsidRPr="00593385">
        <w:rPr>
          <w:szCs w:val="22"/>
          <w:lang w:val="sl-SI"/>
        </w:rPr>
        <w:t xml:space="preserve"> potrošnje v nižjih starostnih razredih je predvsem rezultat relativno višje stopnje vpisa žensk v </w:t>
      </w:r>
      <w:r w:rsidR="00CB2F38" w:rsidRPr="00593385">
        <w:rPr>
          <w:szCs w:val="22"/>
          <w:lang w:val="sl-SI"/>
        </w:rPr>
        <w:t xml:space="preserve">formalno </w:t>
      </w:r>
      <w:r w:rsidRPr="00593385">
        <w:rPr>
          <w:szCs w:val="22"/>
          <w:lang w:val="sl-SI"/>
        </w:rPr>
        <w:t xml:space="preserve">izobraževanje. Razlika med spoloma v potrošnji je še bolj očitna v času aktivne delovne dobe, ko imajo v času materinstva ženske višjo predvsem javno in zasebno </w:t>
      </w:r>
      <w:r w:rsidR="00CB2F38" w:rsidRPr="00593385">
        <w:rPr>
          <w:szCs w:val="22"/>
          <w:lang w:val="sl-SI"/>
        </w:rPr>
        <w:t xml:space="preserve">zdravstveno </w:t>
      </w:r>
      <w:r w:rsidRPr="00593385">
        <w:rPr>
          <w:szCs w:val="22"/>
          <w:lang w:val="sl-SI"/>
        </w:rPr>
        <w:t>potrošnjo.</w:t>
      </w:r>
      <w:r w:rsidRPr="00637A2E">
        <w:rPr>
          <w:szCs w:val="22"/>
          <w:lang w:val="sl-SI"/>
        </w:rPr>
        <w:t xml:space="preserve"> </w:t>
      </w:r>
    </w:p>
    <w:p w14:paraId="6D8909FB" w14:textId="472E8F6C" w:rsidR="00637A2E" w:rsidRPr="00637A2E" w:rsidRDefault="00803A79" w:rsidP="008318B8">
      <w:pPr>
        <w:pStyle w:val="StyleBodyTextIndent210ptFirstline0cmRight012cm"/>
        <w:spacing w:before="60"/>
        <w:ind w:right="68"/>
        <w:rPr>
          <w:szCs w:val="22"/>
          <w:lang w:val="sl-SI"/>
        </w:rPr>
      </w:pPr>
      <w:r>
        <w:rPr>
          <w:szCs w:val="22"/>
          <w:lang w:val="sl-SI"/>
        </w:rPr>
        <w:t>V času</w:t>
      </w:r>
      <w:r w:rsidR="00637A2E" w:rsidRPr="00637A2E">
        <w:rPr>
          <w:szCs w:val="22"/>
          <w:lang w:val="sl-SI"/>
        </w:rPr>
        <w:t xml:space="preserve"> se starostni profil del</w:t>
      </w:r>
      <w:r w:rsidR="00F5512C">
        <w:rPr>
          <w:szCs w:val="22"/>
          <w:lang w:val="sl-SI"/>
        </w:rPr>
        <w:t>o</w:t>
      </w:r>
      <w:r w:rsidR="00637A2E" w:rsidRPr="00637A2E">
        <w:rPr>
          <w:szCs w:val="22"/>
          <w:lang w:val="sl-SI"/>
        </w:rPr>
        <w:t>vnega doho</w:t>
      </w:r>
      <w:r w:rsidR="00E90E06">
        <w:rPr>
          <w:szCs w:val="22"/>
          <w:lang w:val="sl-SI"/>
        </w:rPr>
        <w:t xml:space="preserve">dka obeh spolov pomika v desno. Posamezniki namreč </w:t>
      </w:r>
      <w:r>
        <w:rPr>
          <w:szCs w:val="22"/>
          <w:lang w:val="sl-SI"/>
        </w:rPr>
        <w:t>v času</w:t>
      </w:r>
      <w:r w:rsidR="00E90E06">
        <w:rPr>
          <w:szCs w:val="22"/>
          <w:lang w:val="sl-SI"/>
        </w:rPr>
        <w:t xml:space="preserve"> na trg dela vstopajo pri višji starosti in se pri višji starosti tudi upokojujejo. Z</w:t>
      </w:r>
      <w:r w:rsidR="00637A2E" w:rsidRPr="00637A2E">
        <w:rPr>
          <w:szCs w:val="22"/>
          <w:lang w:val="sl-SI"/>
        </w:rPr>
        <w:t>aznati</w:t>
      </w:r>
      <w:r w:rsidR="00E90E06">
        <w:rPr>
          <w:szCs w:val="22"/>
          <w:lang w:val="sl-SI"/>
        </w:rPr>
        <w:t xml:space="preserve"> pa je</w:t>
      </w:r>
      <w:r w:rsidR="00637A2E" w:rsidRPr="00637A2E">
        <w:rPr>
          <w:szCs w:val="22"/>
          <w:lang w:val="sl-SI"/>
        </w:rPr>
        <w:t xml:space="preserve"> bolj očiten premik delovnega dohodka žensk v primerjavi z delovnim dohodkom moških. V obdobju med letoma 2000 in 2012 se v nižjih starostnih razredih povečuje razlika v delovnem dohodku med spoloma, medtem ko se razlika v dohodku višjih starostnih razredov zmanjšuje. Zadnje je predvsem posledica procesa izenačevanja pogojev za upokojitev obeh spolov. Višja potrošnja žensk v primerjavi z moškimi je značilnost celotnega obdobja 2000–2012, razlike med spoloma v času materinstva pa se skozi čas povečujejo. </w:t>
      </w:r>
    </w:p>
    <w:p w14:paraId="3D50DBB8" w14:textId="77777777" w:rsidR="00637A2E" w:rsidRPr="00637A2E" w:rsidRDefault="00637A2E" w:rsidP="00EC1A32">
      <w:pPr>
        <w:pStyle w:val="StyleBodyTextIndent210ptFirstline0cmRight012cm"/>
        <w:spacing w:before="60"/>
        <w:ind w:right="68" w:firstLine="0"/>
        <w:rPr>
          <w:szCs w:val="22"/>
          <w:lang w:val="sl-SI"/>
        </w:rPr>
      </w:pPr>
      <w:r w:rsidRPr="00637A2E">
        <w:rPr>
          <w:noProof/>
          <w:szCs w:val="22"/>
          <w:lang w:val="en-GB" w:eastAsia="en-GB"/>
        </w:rPr>
        <w:lastRenderedPageBreak/>
        <w:drawing>
          <wp:inline distT="0" distB="0" distL="0" distR="0" wp14:anchorId="4F0CCA2F" wp14:editId="24E02048">
            <wp:extent cx="3265212" cy="21463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80634" cy="2156437"/>
                    </a:xfrm>
                    <a:prstGeom prst="rect">
                      <a:avLst/>
                    </a:prstGeom>
                  </pic:spPr>
                </pic:pic>
              </a:graphicData>
            </a:graphic>
          </wp:inline>
        </w:drawing>
      </w:r>
    </w:p>
    <w:p w14:paraId="6209ED4B" w14:textId="77777777" w:rsidR="00637A2E" w:rsidRPr="00637A2E" w:rsidRDefault="00637A2E" w:rsidP="00EC1A32">
      <w:pPr>
        <w:pStyle w:val="StyleBodyTextIndent210ptFirstline0cmRight012cm"/>
        <w:spacing w:before="60"/>
        <w:ind w:right="68" w:firstLine="0"/>
        <w:rPr>
          <w:szCs w:val="22"/>
          <w:lang w:val="sl-SI"/>
        </w:rPr>
      </w:pPr>
      <w:r w:rsidRPr="00EC1A32">
        <w:rPr>
          <w:b/>
          <w:szCs w:val="22"/>
          <w:lang w:val="sl-SI"/>
        </w:rPr>
        <w:t>Slika 1:</w:t>
      </w:r>
      <w:r w:rsidRPr="00637A2E">
        <w:rPr>
          <w:szCs w:val="22"/>
          <w:lang w:val="sl-SI"/>
        </w:rPr>
        <w:t xml:space="preserve"> Dohodek iz dela in potrošnja moških in žensk, Slovenija, 2000–2012</w:t>
      </w:r>
    </w:p>
    <w:p w14:paraId="31E15314" w14:textId="77777777" w:rsidR="00637A2E" w:rsidRPr="00EC1A32" w:rsidRDefault="00637A2E" w:rsidP="00EC1A32">
      <w:pPr>
        <w:pStyle w:val="StyleBodyTextIndent210ptFirstline0cmRight012cm"/>
        <w:spacing w:before="60"/>
        <w:ind w:right="68" w:firstLine="0"/>
        <w:rPr>
          <w:i/>
          <w:sz w:val="20"/>
          <w:lang w:val="sl-SI"/>
        </w:rPr>
      </w:pPr>
      <w:r w:rsidRPr="00EC1A32">
        <w:rPr>
          <w:i/>
          <w:sz w:val="20"/>
          <w:lang w:val="sl-SI"/>
        </w:rPr>
        <w:t xml:space="preserve">Vir: APG 2000–2012, Eurostat, mnogi drugi viri. </w:t>
      </w:r>
    </w:p>
    <w:p w14:paraId="3066E3BE" w14:textId="77777777" w:rsidR="00EC1A32" w:rsidRDefault="00EC1A32" w:rsidP="00637A2E">
      <w:pPr>
        <w:pStyle w:val="StyleBodyTextIndent210ptFirstline0cmRight012cm"/>
        <w:spacing w:before="60"/>
        <w:ind w:right="68"/>
        <w:rPr>
          <w:szCs w:val="22"/>
          <w:lang w:val="sl-SI"/>
        </w:rPr>
      </w:pPr>
    </w:p>
    <w:p w14:paraId="4F18B03F" w14:textId="6EBFA430" w:rsidR="00846D06" w:rsidRDefault="00637A2E" w:rsidP="00637A2E">
      <w:pPr>
        <w:pStyle w:val="StyleBodyTextIndent210ptFirstline0cmRight012cm"/>
        <w:spacing w:before="60"/>
        <w:ind w:right="68"/>
        <w:rPr>
          <w:szCs w:val="22"/>
          <w:lang w:val="sl-SI"/>
        </w:rPr>
      </w:pPr>
      <w:r w:rsidRPr="00637A2E">
        <w:rPr>
          <w:szCs w:val="22"/>
          <w:lang w:val="sl-SI"/>
        </w:rPr>
        <w:t xml:space="preserve">Zaradi nižjega delovnega dohodka, a hkrati višje potrošnje žensk v primerjavi z moškimi, so ženske ekonomsko neodvisne krajše obdobje življenjskega cikla kakor moški. V letu 2012 je delovni dohodek žensk presegal njihovo potrošnjo zgolj med 27,7. in 56,7. letom starosti (glej Tabelo 1). Na drugi strani so bili moški ekonomsko neodvisni med </w:t>
      </w:r>
      <w:r w:rsidR="00803A79">
        <w:rPr>
          <w:szCs w:val="22"/>
          <w:lang w:val="sl-SI"/>
        </w:rPr>
        <w:t xml:space="preserve">starostjo </w:t>
      </w:r>
      <w:r w:rsidRPr="00637A2E">
        <w:rPr>
          <w:szCs w:val="22"/>
          <w:lang w:val="sl-SI"/>
        </w:rPr>
        <w:t>24,1 in 60,0</w:t>
      </w:r>
      <w:r w:rsidR="00803A79">
        <w:rPr>
          <w:szCs w:val="22"/>
          <w:lang w:val="sl-SI"/>
        </w:rPr>
        <w:t xml:space="preserve"> let</w:t>
      </w:r>
      <w:r w:rsidRPr="00637A2E">
        <w:rPr>
          <w:szCs w:val="22"/>
          <w:lang w:val="sl-SI"/>
        </w:rPr>
        <w:t xml:space="preserve">. Moški so bili tako v povprečju sposobni financirati svojo potrošnjo z delovnim dohodkom 6,9 let dlje kot ženske. </w:t>
      </w:r>
    </w:p>
    <w:p w14:paraId="2C3CF145" w14:textId="7B217F2C" w:rsidR="00637A2E" w:rsidRPr="00637A2E" w:rsidRDefault="00637A2E" w:rsidP="00637A2E">
      <w:pPr>
        <w:pStyle w:val="StyleBodyTextIndent210ptFirstline0cmRight012cm"/>
        <w:spacing w:before="60"/>
        <w:ind w:right="68"/>
        <w:rPr>
          <w:szCs w:val="22"/>
          <w:lang w:val="sl-SI"/>
        </w:rPr>
      </w:pPr>
      <w:r w:rsidRPr="00637A2E">
        <w:rPr>
          <w:szCs w:val="22"/>
          <w:lang w:val="sl-SI"/>
        </w:rPr>
        <w:t>Krajše obdobje ekonomske neodvisnosti žensk in njihovo daljše življenjsko pričakovanje ob rojstvu vodi v daljše obdobje ekonomske odvisnosti oz. primanjkljaja življenjskega cikla žensk v primerjavi z moškimi. Ekonomska odvisnost žensk pa ni zgolj daljša, ampak je tudi bolj intenzivna. V letu 2012 je celoten primanjkljaj življenjskega cikla moških znašal 25,5 % celotnega delovnega dohodka, medtem ko je celotni primanjkljaj življenjskega cikla žensk znašal 30,2 % celotnega delovnega dohodka. To pomeni, da je bilo za financiranje ekonomske odvisnosti žensk potrebnega 4,7 % celotnega delovnega dohodka več, kakor ga je bilo potrebnega za financiranje odvisnosti moških.</w:t>
      </w:r>
    </w:p>
    <w:p w14:paraId="18C2662E" w14:textId="03450554" w:rsidR="007A24F7" w:rsidRPr="007A24F7" w:rsidRDefault="00803A79" w:rsidP="007A24F7">
      <w:pPr>
        <w:pStyle w:val="StyleBodyTextIndent210ptFirstline0cmRight012cm"/>
        <w:rPr>
          <w:bCs/>
          <w:szCs w:val="22"/>
          <w:lang w:val="sl-SI"/>
        </w:rPr>
      </w:pPr>
      <w:bookmarkStart w:id="1" w:name="_Ref491034650"/>
      <w:bookmarkStart w:id="2" w:name="_Toc494074979"/>
      <w:bookmarkStart w:id="3" w:name="_Toc496639361"/>
      <w:r>
        <w:rPr>
          <w:bCs/>
          <w:szCs w:val="22"/>
          <w:lang w:val="sl-SI"/>
        </w:rPr>
        <w:t xml:space="preserve">V času </w:t>
      </w:r>
      <w:r w:rsidR="007A24F7" w:rsidRPr="007A24F7">
        <w:rPr>
          <w:bCs/>
          <w:szCs w:val="22"/>
          <w:lang w:val="sl-SI"/>
        </w:rPr>
        <w:t xml:space="preserve">se, skladno s premikom delovnega dohodka, v desno premika tudi starostni profil primanjkljaja življenjskega cikla. Znatnejši premik za ženske v primerjavi z moškimi vodi v daljše obdobje </w:t>
      </w:r>
      <w:r w:rsidR="007A24F7" w:rsidRPr="00593385">
        <w:rPr>
          <w:bCs/>
          <w:szCs w:val="22"/>
          <w:lang w:val="sl-SI"/>
        </w:rPr>
        <w:t xml:space="preserve">ekonomske neodvisnosti oziroma daljše obdobje presežka življenjskega cikla za ženske, in sicer </w:t>
      </w:r>
      <w:r w:rsidR="00CB2F38" w:rsidRPr="00593385">
        <w:rPr>
          <w:bCs/>
          <w:szCs w:val="22"/>
          <w:lang w:val="sl-SI"/>
        </w:rPr>
        <w:t>z</w:t>
      </w:r>
      <w:r w:rsidR="007A24F7" w:rsidRPr="00593385">
        <w:rPr>
          <w:bCs/>
          <w:szCs w:val="22"/>
          <w:lang w:val="sl-SI"/>
        </w:rPr>
        <w:t xml:space="preserve"> 28,3 let v letu 2000 na 29,0 let v letu 2012. Nasprotno se obdobje ekonomske neodvisnosti moških celo rahlo skrajšuje, in sicer </w:t>
      </w:r>
      <w:r w:rsidR="00CB2F38" w:rsidRPr="00593385">
        <w:rPr>
          <w:bCs/>
          <w:szCs w:val="22"/>
          <w:lang w:val="sl-SI"/>
        </w:rPr>
        <w:t>s</w:t>
      </w:r>
      <w:r w:rsidR="007A24F7" w:rsidRPr="00593385">
        <w:rPr>
          <w:bCs/>
          <w:szCs w:val="22"/>
          <w:lang w:val="sl-SI"/>
        </w:rPr>
        <w:t xml:space="preserve"> 36,1 let v letu 2000 na</w:t>
      </w:r>
      <w:r w:rsidR="007A24F7" w:rsidRPr="007A24F7">
        <w:rPr>
          <w:bCs/>
          <w:szCs w:val="22"/>
          <w:lang w:val="sl-SI"/>
        </w:rPr>
        <w:t xml:space="preserve"> 35,9 let v letu 2012. Razlika v dolžini ekonomske neodvisnosti med spoloma </w:t>
      </w:r>
      <w:r w:rsidR="007A24F7" w:rsidRPr="00593385">
        <w:rPr>
          <w:bCs/>
          <w:szCs w:val="22"/>
          <w:lang w:val="sl-SI"/>
        </w:rPr>
        <w:lastRenderedPageBreak/>
        <w:t xml:space="preserve">se je tako skrajšala </w:t>
      </w:r>
      <w:r w:rsidR="00CB2F38" w:rsidRPr="00593385">
        <w:rPr>
          <w:bCs/>
          <w:szCs w:val="22"/>
          <w:lang w:val="sl-SI"/>
        </w:rPr>
        <w:t>z</w:t>
      </w:r>
      <w:r w:rsidR="007A24F7" w:rsidRPr="00593385">
        <w:rPr>
          <w:bCs/>
          <w:szCs w:val="22"/>
          <w:lang w:val="sl-SI"/>
        </w:rPr>
        <w:t xml:space="preserve"> začetnih 7,9 let v letu 2000 na 6,9 let v letu 2012. Ob tem se v času zmanjšuje tudi razlika v </w:t>
      </w:r>
      <w:r w:rsidR="00022B52" w:rsidRPr="00593385">
        <w:rPr>
          <w:bCs/>
          <w:szCs w:val="22"/>
          <w:lang w:val="sl-SI"/>
        </w:rPr>
        <w:t>obsegu</w:t>
      </w:r>
      <w:r w:rsidR="007A24F7" w:rsidRPr="00593385">
        <w:rPr>
          <w:bCs/>
          <w:szCs w:val="22"/>
          <w:lang w:val="sl-SI"/>
        </w:rPr>
        <w:t xml:space="preserve"> ekonomske odvisnosti, in sicer z</w:t>
      </w:r>
      <w:r w:rsidR="007A24F7" w:rsidRPr="007A24F7">
        <w:rPr>
          <w:bCs/>
          <w:szCs w:val="22"/>
          <w:lang w:val="sl-SI"/>
        </w:rPr>
        <w:t xml:space="preserve"> začetnih 6,3 </w:t>
      </w:r>
      <w:r w:rsidR="007A24F7" w:rsidRPr="007A24F7">
        <w:rPr>
          <w:bCs/>
          <w:szCs w:val="22"/>
          <w:lang w:val="sl-SI"/>
        </w:rPr>
        <w:lastRenderedPageBreak/>
        <w:t xml:space="preserve">% celotnega delovnega dohodka v letu 2000 na 4,7 % v letu 2012. </w:t>
      </w:r>
    </w:p>
    <w:p w14:paraId="3AE1CD61" w14:textId="77777777" w:rsidR="00EC1A32" w:rsidRDefault="00EC1A32" w:rsidP="00637A2E">
      <w:pPr>
        <w:pStyle w:val="StyleBodyTextIndent210ptFirstline0cmRight012cm"/>
        <w:spacing w:before="60"/>
        <w:ind w:right="68"/>
        <w:rPr>
          <w:bCs/>
          <w:szCs w:val="22"/>
          <w:lang w:val="sl-SI"/>
        </w:rPr>
        <w:sectPr w:rsidR="00EC1A32" w:rsidSect="00DD0F1B">
          <w:type w:val="continuous"/>
          <w:pgSz w:w="11913" w:h="16834"/>
          <w:pgMar w:top="1418" w:right="851" w:bottom="1985" w:left="851" w:header="708" w:footer="708" w:gutter="0"/>
          <w:paperSrc w:first="15" w:other="15"/>
          <w:cols w:num="2" w:space="436" w:equalWidth="0">
            <w:col w:w="4887" w:space="436"/>
            <w:col w:w="4888"/>
          </w:cols>
        </w:sectPr>
      </w:pPr>
    </w:p>
    <w:p w14:paraId="0FBF3C1F" w14:textId="77777777" w:rsidR="00EC1A32" w:rsidRDefault="00EC1A32" w:rsidP="00637A2E">
      <w:pPr>
        <w:pStyle w:val="StyleBodyTextIndent210ptFirstline0cmRight012cm"/>
        <w:spacing w:before="60"/>
        <w:ind w:right="68"/>
        <w:rPr>
          <w:bCs/>
          <w:szCs w:val="22"/>
          <w:lang w:val="sl-SI"/>
        </w:rPr>
      </w:pPr>
    </w:p>
    <w:p w14:paraId="3900B716" w14:textId="3672B5B5" w:rsidR="00637A2E" w:rsidRPr="00637A2E" w:rsidRDefault="00637A2E" w:rsidP="00EC1A32">
      <w:pPr>
        <w:pStyle w:val="StyleBodyTextIndent210ptFirstline0cmRight012cm"/>
        <w:spacing w:before="60"/>
        <w:ind w:right="68" w:firstLine="0"/>
        <w:rPr>
          <w:bCs/>
          <w:szCs w:val="22"/>
          <w:lang w:val="sl-SI"/>
        </w:rPr>
      </w:pPr>
      <w:r w:rsidRPr="00637A2E">
        <w:rPr>
          <w:bCs/>
          <w:szCs w:val="22"/>
          <w:lang w:val="sl-SI"/>
        </w:rPr>
        <w:t xml:space="preserve">Tabela </w:t>
      </w:r>
      <w:bookmarkEnd w:id="1"/>
      <w:r w:rsidRPr="00637A2E">
        <w:rPr>
          <w:bCs/>
          <w:szCs w:val="22"/>
          <w:lang w:val="sl-SI"/>
        </w:rPr>
        <w:t>1. Razlike med spoloma v dolžini/</w:t>
      </w:r>
      <w:r w:rsidR="00593385">
        <w:rPr>
          <w:bCs/>
          <w:szCs w:val="22"/>
          <w:lang w:val="sl-SI"/>
        </w:rPr>
        <w:t>obsegu</w:t>
      </w:r>
      <w:r w:rsidRPr="00637A2E">
        <w:rPr>
          <w:bCs/>
          <w:szCs w:val="22"/>
          <w:lang w:val="sl-SI"/>
        </w:rPr>
        <w:t xml:space="preserve"> presežka/primanjkljaja življenjskega cikla, Slovenija, 2000</w:t>
      </w:r>
      <w:r w:rsidRPr="00637A2E">
        <w:rPr>
          <w:szCs w:val="22"/>
          <w:lang w:val="sl-SI"/>
        </w:rPr>
        <w:t>–</w:t>
      </w:r>
      <w:r w:rsidRPr="00637A2E">
        <w:rPr>
          <w:bCs/>
          <w:szCs w:val="22"/>
          <w:lang w:val="sl-SI"/>
        </w:rPr>
        <w:t>2012</w:t>
      </w:r>
      <w:bookmarkEnd w:id="2"/>
      <w:bookmarkEnd w:id="3"/>
    </w:p>
    <w:tbl>
      <w:tblPr>
        <w:tblW w:w="5000" w:type="pct"/>
        <w:tblLook w:val="04A0" w:firstRow="1" w:lastRow="0" w:firstColumn="1" w:lastColumn="0" w:noHBand="0" w:noVBand="1"/>
      </w:tblPr>
      <w:tblGrid>
        <w:gridCol w:w="1083"/>
        <w:gridCol w:w="1210"/>
        <w:gridCol w:w="1039"/>
        <w:gridCol w:w="1039"/>
        <w:gridCol w:w="1445"/>
        <w:gridCol w:w="1457"/>
        <w:gridCol w:w="1363"/>
        <w:gridCol w:w="1575"/>
      </w:tblGrid>
      <w:tr w:rsidR="00637A2E" w:rsidRPr="00637A2E" w14:paraId="681A017A" w14:textId="77777777" w:rsidTr="00EC1A32">
        <w:trPr>
          <w:trHeight w:val="517"/>
        </w:trPr>
        <w:tc>
          <w:tcPr>
            <w:tcW w:w="534" w:type="pct"/>
            <w:vMerge w:val="restart"/>
            <w:tcBorders>
              <w:top w:val="single" w:sz="4" w:space="0" w:color="auto"/>
              <w:left w:val="nil"/>
              <w:bottom w:val="nil"/>
              <w:right w:val="nil"/>
            </w:tcBorders>
            <w:shd w:val="clear" w:color="auto" w:fill="auto"/>
            <w:vAlign w:val="center"/>
            <w:hideMark/>
          </w:tcPr>
          <w:p w14:paraId="6B7CAAB8" w14:textId="77777777" w:rsidR="00637A2E" w:rsidRPr="00637A2E" w:rsidRDefault="00637A2E" w:rsidP="00637A2E">
            <w:pPr>
              <w:pStyle w:val="StyleBodyTextIndent210ptFirstline0cmRight012cm"/>
              <w:spacing w:before="60"/>
              <w:ind w:right="68"/>
              <w:rPr>
                <w:szCs w:val="22"/>
                <w:lang w:val="sl-SI"/>
              </w:rPr>
            </w:pPr>
            <w:r w:rsidRPr="00637A2E">
              <w:rPr>
                <w:szCs w:val="22"/>
                <w:lang w:val="sl-SI"/>
              </w:rPr>
              <w:t>Leto</w:t>
            </w:r>
          </w:p>
        </w:tc>
        <w:tc>
          <w:tcPr>
            <w:tcW w:w="596" w:type="pct"/>
            <w:vMerge w:val="restart"/>
            <w:tcBorders>
              <w:top w:val="single" w:sz="4" w:space="0" w:color="auto"/>
              <w:left w:val="nil"/>
              <w:bottom w:val="nil"/>
              <w:right w:val="nil"/>
            </w:tcBorders>
            <w:shd w:val="clear" w:color="auto" w:fill="auto"/>
            <w:vAlign w:val="center"/>
            <w:hideMark/>
          </w:tcPr>
          <w:p w14:paraId="28AE4BFB" w14:textId="77777777" w:rsidR="00637A2E" w:rsidRPr="00637A2E" w:rsidRDefault="00637A2E" w:rsidP="00637A2E">
            <w:pPr>
              <w:pStyle w:val="StyleBodyTextIndent210ptFirstline0cmRight012cm"/>
              <w:spacing w:before="60"/>
              <w:ind w:right="68"/>
              <w:rPr>
                <w:szCs w:val="22"/>
                <w:lang w:val="sl-SI"/>
              </w:rPr>
            </w:pPr>
            <w:r w:rsidRPr="00637A2E">
              <w:rPr>
                <w:szCs w:val="22"/>
                <w:lang w:val="sl-SI"/>
              </w:rPr>
              <w:t>Spol</w:t>
            </w:r>
          </w:p>
        </w:tc>
        <w:tc>
          <w:tcPr>
            <w:tcW w:w="1023" w:type="pct"/>
            <w:gridSpan w:val="2"/>
            <w:vMerge w:val="restart"/>
            <w:tcBorders>
              <w:top w:val="single" w:sz="4" w:space="0" w:color="auto"/>
              <w:left w:val="nil"/>
              <w:bottom w:val="nil"/>
              <w:right w:val="nil"/>
            </w:tcBorders>
            <w:shd w:val="clear" w:color="auto" w:fill="auto"/>
            <w:vAlign w:val="center"/>
            <w:hideMark/>
          </w:tcPr>
          <w:p w14:paraId="41A5AED4" w14:textId="5271CBF5"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Starostne meje presežka življenjskega cikla</w:t>
            </w:r>
          </w:p>
        </w:tc>
        <w:tc>
          <w:tcPr>
            <w:tcW w:w="706" w:type="pct"/>
            <w:vMerge w:val="restart"/>
            <w:tcBorders>
              <w:top w:val="single" w:sz="4" w:space="0" w:color="auto"/>
              <w:left w:val="nil"/>
              <w:bottom w:val="nil"/>
              <w:right w:val="nil"/>
            </w:tcBorders>
            <w:shd w:val="clear" w:color="auto" w:fill="auto"/>
            <w:vAlign w:val="center"/>
            <w:hideMark/>
          </w:tcPr>
          <w:p w14:paraId="0C30E245" w14:textId="77777777" w:rsidR="00637A2E" w:rsidRPr="00637A2E" w:rsidRDefault="00637A2E" w:rsidP="00EC1A32">
            <w:pPr>
              <w:pStyle w:val="StyleBodyTextIndent210ptFirstline0cmRight012cm"/>
              <w:spacing w:before="60"/>
              <w:ind w:right="68"/>
              <w:jc w:val="center"/>
              <w:rPr>
                <w:szCs w:val="22"/>
                <w:lang w:val="sl-SI"/>
              </w:rPr>
            </w:pPr>
            <w:r w:rsidRPr="00637A2E">
              <w:rPr>
                <w:szCs w:val="22"/>
                <w:lang w:val="sl-SI"/>
              </w:rPr>
              <w:t>Dolžina presežka življenjskega cikla</w:t>
            </w:r>
          </w:p>
          <w:p w14:paraId="4A653015" w14:textId="77777777" w:rsidR="00637A2E" w:rsidRPr="00637A2E" w:rsidRDefault="00637A2E" w:rsidP="00EC1A32">
            <w:pPr>
              <w:pStyle w:val="StyleBodyTextIndent210ptFirstline0cmRight012cm"/>
              <w:spacing w:before="60"/>
              <w:ind w:right="68"/>
              <w:jc w:val="center"/>
              <w:rPr>
                <w:szCs w:val="22"/>
                <w:lang w:val="sl-SI"/>
              </w:rPr>
            </w:pPr>
            <w:r w:rsidRPr="00637A2E">
              <w:rPr>
                <w:szCs w:val="22"/>
                <w:lang w:val="sl-SI"/>
              </w:rPr>
              <w:t>(LCS; v letih)</w:t>
            </w:r>
          </w:p>
        </w:tc>
        <w:tc>
          <w:tcPr>
            <w:tcW w:w="711" w:type="pct"/>
            <w:vMerge w:val="restart"/>
            <w:tcBorders>
              <w:top w:val="single" w:sz="4" w:space="0" w:color="auto"/>
              <w:left w:val="nil"/>
              <w:bottom w:val="nil"/>
              <w:right w:val="nil"/>
            </w:tcBorders>
            <w:shd w:val="clear" w:color="auto" w:fill="auto"/>
            <w:vAlign w:val="center"/>
            <w:hideMark/>
          </w:tcPr>
          <w:p w14:paraId="26F26641" w14:textId="56E211CA" w:rsidR="00637A2E" w:rsidRPr="00637A2E" w:rsidRDefault="00593385" w:rsidP="00EC1A32">
            <w:pPr>
              <w:pStyle w:val="StyleBodyTextIndent210ptFirstline0cmRight012cm"/>
              <w:spacing w:before="60"/>
              <w:ind w:right="68"/>
              <w:jc w:val="center"/>
              <w:rPr>
                <w:szCs w:val="22"/>
                <w:lang w:val="sl-SI"/>
              </w:rPr>
            </w:pPr>
            <w:r>
              <w:rPr>
                <w:szCs w:val="22"/>
                <w:lang w:val="sl-SI"/>
              </w:rPr>
              <w:t>Obseg</w:t>
            </w:r>
            <w:r w:rsidR="00637A2E" w:rsidRPr="00637A2E">
              <w:rPr>
                <w:szCs w:val="22"/>
                <w:lang w:val="sl-SI"/>
              </w:rPr>
              <w:t xml:space="preserve"> primanjkljaja življenjskega cikla glede na delovni dohodek (NtaDR; v %)</w:t>
            </w:r>
          </w:p>
        </w:tc>
        <w:tc>
          <w:tcPr>
            <w:tcW w:w="671" w:type="pct"/>
            <w:vMerge w:val="restart"/>
            <w:tcBorders>
              <w:top w:val="single" w:sz="4" w:space="0" w:color="auto"/>
              <w:left w:val="nil"/>
              <w:bottom w:val="nil"/>
              <w:right w:val="nil"/>
            </w:tcBorders>
            <w:shd w:val="clear" w:color="auto" w:fill="auto"/>
            <w:vAlign w:val="center"/>
            <w:hideMark/>
          </w:tcPr>
          <w:p w14:paraId="3C49902C" w14:textId="77777777" w:rsidR="00637A2E" w:rsidRPr="00637A2E" w:rsidRDefault="00637A2E" w:rsidP="00874686">
            <w:pPr>
              <w:pStyle w:val="StyleBodyTextIndent210ptFirstline0cmRight012cm"/>
              <w:spacing w:before="60"/>
              <w:ind w:right="68"/>
              <w:jc w:val="center"/>
              <w:rPr>
                <w:szCs w:val="22"/>
                <w:vertAlign w:val="subscript"/>
                <w:lang w:val="sl-SI"/>
              </w:rPr>
            </w:pPr>
            <w:r w:rsidRPr="00637A2E">
              <w:rPr>
                <w:szCs w:val="22"/>
                <w:lang w:val="sl-SI"/>
              </w:rPr>
              <w:t>∆LCS</w:t>
            </w:r>
            <w:r w:rsidRPr="00637A2E">
              <w:rPr>
                <w:szCs w:val="22"/>
                <w:vertAlign w:val="subscript"/>
                <w:lang w:val="sl-SI"/>
              </w:rPr>
              <w:t>M/Ž</w:t>
            </w:r>
          </w:p>
          <w:p w14:paraId="6D2CC98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(v letih)</w:t>
            </w:r>
          </w:p>
        </w:tc>
        <w:tc>
          <w:tcPr>
            <w:tcW w:w="758" w:type="pct"/>
            <w:vMerge w:val="restart"/>
            <w:tcBorders>
              <w:top w:val="single" w:sz="4" w:space="0" w:color="auto"/>
              <w:left w:val="nil"/>
              <w:bottom w:val="single" w:sz="4" w:space="0" w:color="000000"/>
              <w:right w:val="nil"/>
            </w:tcBorders>
            <w:shd w:val="clear" w:color="auto" w:fill="auto"/>
            <w:vAlign w:val="center"/>
            <w:hideMark/>
          </w:tcPr>
          <w:p w14:paraId="6A3CA000" w14:textId="77777777" w:rsidR="00637A2E" w:rsidRPr="00637A2E" w:rsidRDefault="00637A2E" w:rsidP="00637A2E">
            <w:pPr>
              <w:pStyle w:val="StyleBodyTextIndent210ptFirstline0cmRight012cm"/>
              <w:spacing w:before="60"/>
              <w:ind w:right="68"/>
              <w:rPr>
                <w:szCs w:val="22"/>
                <w:vertAlign w:val="subscript"/>
                <w:lang w:val="sl-SI"/>
              </w:rPr>
            </w:pPr>
            <w:r w:rsidRPr="00637A2E">
              <w:rPr>
                <w:szCs w:val="22"/>
                <w:lang w:val="sl-SI"/>
              </w:rPr>
              <w:t>∆NtaDR</w:t>
            </w:r>
            <w:r w:rsidRPr="00637A2E">
              <w:rPr>
                <w:szCs w:val="22"/>
                <w:vertAlign w:val="subscript"/>
                <w:lang w:val="sl-SI"/>
              </w:rPr>
              <w:t>Ž/M</w:t>
            </w:r>
          </w:p>
          <w:p w14:paraId="32D31D5B"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(v %)</w:t>
            </w:r>
          </w:p>
        </w:tc>
      </w:tr>
      <w:tr w:rsidR="00637A2E" w:rsidRPr="00637A2E" w14:paraId="24EF9414" w14:textId="77777777" w:rsidTr="00EC1A32">
        <w:trPr>
          <w:trHeight w:val="517"/>
        </w:trPr>
        <w:tc>
          <w:tcPr>
            <w:tcW w:w="534" w:type="pct"/>
            <w:vMerge/>
            <w:tcBorders>
              <w:top w:val="single" w:sz="4" w:space="0" w:color="auto"/>
              <w:left w:val="nil"/>
              <w:bottom w:val="nil"/>
              <w:right w:val="nil"/>
            </w:tcBorders>
            <w:vAlign w:val="center"/>
            <w:hideMark/>
          </w:tcPr>
          <w:p w14:paraId="48B781DB" w14:textId="77777777" w:rsidR="00637A2E" w:rsidRPr="00637A2E" w:rsidRDefault="00637A2E" w:rsidP="00637A2E">
            <w:pPr>
              <w:pStyle w:val="StyleBodyTextIndent210ptFirstline0cmRight012cm"/>
              <w:spacing w:before="60"/>
              <w:ind w:right="68"/>
              <w:rPr>
                <w:szCs w:val="22"/>
                <w:lang w:val="sl-SI"/>
              </w:rPr>
            </w:pPr>
          </w:p>
        </w:tc>
        <w:tc>
          <w:tcPr>
            <w:tcW w:w="596" w:type="pct"/>
            <w:vMerge/>
            <w:tcBorders>
              <w:top w:val="single" w:sz="4" w:space="0" w:color="auto"/>
              <w:left w:val="nil"/>
              <w:bottom w:val="nil"/>
              <w:right w:val="nil"/>
            </w:tcBorders>
            <w:vAlign w:val="center"/>
            <w:hideMark/>
          </w:tcPr>
          <w:p w14:paraId="42FD94E9" w14:textId="77777777" w:rsidR="00637A2E" w:rsidRPr="00637A2E" w:rsidRDefault="00637A2E" w:rsidP="00637A2E">
            <w:pPr>
              <w:pStyle w:val="StyleBodyTextIndent210ptFirstline0cmRight012cm"/>
              <w:spacing w:before="60"/>
              <w:ind w:right="68"/>
              <w:rPr>
                <w:szCs w:val="22"/>
                <w:lang w:val="sl-SI"/>
              </w:rPr>
            </w:pPr>
          </w:p>
        </w:tc>
        <w:tc>
          <w:tcPr>
            <w:tcW w:w="1023" w:type="pct"/>
            <w:gridSpan w:val="2"/>
            <w:vMerge/>
            <w:tcBorders>
              <w:top w:val="single" w:sz="4" w:space="0" w:color="auto"/>
              <w:left w:val="nil"/>
              <w:bottom w:val="nil"/>
              <w:right w:val="nil"/>
            </w:tcBorders>
            <w:vAlign w:val="center"/>
            <w:hideMark/>
          </w:tcPr>
          <w:p w14:paraId="15468D22" w14:textId="77777777" w:rsidR="00637A2E" w:rsidRPr="00637A2E" w:rsidRDefault="00637A2E" w:rsidP="00637A2E">
            <w:pPr>
              <w:pStyle w:val="StyleBodyTextIndent210ptFirstline0cmRight012cm"/>
              <w:spacing w:before="60"/>
              <w:ind w:right="68"/>
              <w:rPr>
                <w:szCs w:val="22"/>
                <w:lang w:val="sl-SI"/>
              </w:rPr>
            </w:pPr>
          </w:p>
        </w:tc>
        <w:tc>
          <w:tcPr>
            <w:tcW w:w="706" w:type="pct"/>
            <w:vMerge/>
            <w:tcBorders>
              <w:top w:val="single" w:sz="4" w:space="0" w:color="auto"/>
              <w:left w:val="nil"/>
              <w:bottom w:val="nil"/>
              <w:right w:val="nil"/>
            </w:tcBorders>
            <w:vAlign w:val="center"/>
            <w:hideMark/>
          </w:tcPr>
          <w:p w14:paraId="4EA106B3" w14:textId="77777777" w:rsidR="00637A2E" w:rsidRPr="00637A2E" w:rsidRDefault="00637A2E" w:rsidP="00637A2E">
            <w:pPr>
              <w:pStyle w:val="StyleBodyTextIndent210ptFirstline0cmRight012cm"/>
              <w:spacing w:before="60"/>
              <w:ind w:right="68"/>
              <w:rPr>
                <w:szCs w:val="22"/>
                <w:lang w:val="sl-SI"/>
              </w:rPr>
            </w:pPr>
          </w:p>
        </w:tc>
        <w:tc>
          <w:tcPr>
            <w:tcW w:w="711" w:type="pct"/>
            <w:vMerge/>
            <w:tcBorders>
              <w:top w:val="single" w:sz="4" w:space="0" w:color="auto"/>
              <w:left w:val="nil"/>
              <w:bottom w:val="nil"/>
              <w:right w:val="nil"/>
            </w:tcBorders>
            <w:vAlign w:val="center"/>
            <w:hideMark/>
          </w:tcPr>
          <w:p w14:paraId="128AE775" w14:textId="77777777" w:rsidR="00637A2E" w:rsidRPr="00637A2E" w:rsidRDefault="00637A2E" w:rsidP="00637A2E">
            <w:pPr>
              <w:pStyle w:val="StyleBodyTextIndent210ptFirstline0cmRight012cm"/>
              <w:spacing w:before="60"/>
              <w:ind w:right="68"/>
              <w:rPr>
                <w:szCs w:val="22"/>
                <w:lang w:val="sl-SI"/>
              </w:rPr>
            </w:pPr>
          </w:p>
        </w:tc>
        <w:tc>
          <w:tcPr>
            <w:tcW w:w="671" w:type="pct"/>
            <w:vMerge/>
            <w:tcBorders>
              <w:top w:val="single" w:sz="4" w:space="0" w:color="auto"/>
              <w:left w:val="nil"/>
              <w:bottom w:val="nil"/>
              <w:right w:val="nil"/>
            </w:tcBorders>
            <w:vAlign w:val="center"/>
            <w:hideMark/>
          </w:tcPr>
          <w:p w14:paraId="75DE3297" w14:textId="77777777" w:rsidR="00637A2E" w:rsidRPr="00637A2E" w:rsidRDefault="00637A2E" w:rsidP="00637A2E">
            <w:pPr>
              <w:pStyle w:val="StyleBodyTextIndent210ptFirstline0cmRight012cm"/>
              <w:spacing w:before="60"/>
              <w:ind w:right="68"/>
              <w:rPr>
                <w:szCs w:val="22"/>
                <w:lang w:val="sl-SI"/>
              </w:rPr>
            </w:pPr>
          </w:p>
        </w:tc>
        <w:tc>
          <w:tcPr>
            <w:tcW w:w="758" w:type="pct"/>
            <w:vMerge/>
            <w:tcBorders>
              <w:top w:val="single" w:sz="4" w:space="0" w:color="auto"/>
              <w:left w:val="nil"/>
              <w:bottom w:val="single" w:sz="4" w:space="0" w:color="000000"/>
              <w:right w:val="nil"/>
            </w:tcBorders>
            <w:vAlign w:val="center"/>
            <w:hideMark/>
          </w:tcPr>
          <w:p w14:paraId="6847C8CF" w14:textId="77777777" w:rsidR="00637A2E" w:rsidRPr="00637A2E" w:rsidRDefault="00637A2E" w:rsidP="00637A2E">
            <w:pPr>
              <w:pStyle w:val="StyleBodyTextIndent210ptFirstline0cmRight012cm"/>
              <w:spacing w:before="60"/>
              <w:ind w:right="68"/>
              <w:rPr>
                <w:szCs w:val="22"/>
                <w:lang w:val="sl-SI"/>
              </w:rPr>
            </w:pPr>
          </w:p>
        </w:tc>
      </w:tr>
      <w:tr w:rsidR="00637A2E" w:rsidRPr="00637A2E" w14:paraId="0BDA9953" w14:textId="77777777" w:rsidTr="00EC1A32">
        <w:trPr>
          <w:trHeight w:val="300"/>
        </w:trPr>
        <w:tc>
          <w:tcPr>
            <w:tcW w:w="534" w:type="pct"/>
            <w:vMerge w:val="restart"/>
            <w:tcBorders>
              <w:top w:val="single" w:sz="4" w:space="0" w:color="auto"/>
              <w:left w:val="nil"/>
              <w:bottom w:val="nil"/>
              <w:right w:val="nil"/>
            </w:tcBorders>
            <w:shd w:val="clear" w:color="auto" w:fill="auto"/>
            <w:noWrap/>
            <w:vAlign w:val="center"/>
            <w:hideMark/>
          </w:tcPr>
          <w:p w14:paraId="161085C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2000</w:t>
            </w:r>
          </w:p>
        </w:tc>
        <w:tc>
          <w:tcPr>
            <w:tcW w:w="596" w:type="pct"/>
            <w:tcBorders>
              <w:top w:val="single" w:sz="4" w:space="0" w:color="auto"/>
              <w:left w:val="nil"/>
              <w:bottom w:val="nil"/>
              <w:right w:val="nil"/>
            </w:tcBorders>
            <w:shd w:val="clear" w:color="auto" w:fill="auto"/>
            <w:noWrap/>
            <w:vAlign w:val="center"/>
            <w:hideMark/>
          </w:tcPr>
          <w:p w14:paraId="12E9EEB4"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single" w:sz="4" w:space="0" w:color="auto"/>
              <w:left w:val="nil"/>
              <w:bottom w:val="nil"/>
              <w:right w:val="nil"/>
            </w:tcBorders>
            <w:shd w:val="clear" w:color="auto" w:fill="auto"/>
            <w:noWrap/>
            <w:vAlign w:val="center"/>
            <w:hideMark/>
          </w:tcPr>
          <w:p w14:paraId="33773214"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22,5</w:t>
            </w:r>
          </w:p>
        </w:tc>
        <w:tc>
          <w:tcPr>
            <w:tcW w:w="512" w:type="pct"/>
            <w:tcBorders>
              <w:top w:val="single" w:sz="4" w:space="0" w:color="auto"/>
              <w:left w:val="nil"/>
              <w:bottom w:val="nil"/>
              <w:right w:val="nil"/>
            </w:tcBorders>
            <w:shd w:val="clear" w:color="auto" w:fill="auto"/>
            <w:noWrap/>
            <w:vAlign w:val="center"/>
            <w:hideMark/>
          </w:tcPr>
          <w:p w14:paraId="7EC8F610"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58,6</w:t>
            </w:r>
          </w:p>
        </w:tc>
        <w:tc>
          <w:tcPr>
            <w:tcW w:w="706" w:type="pct"/>
            <w:tcBorders>
              <w:top w:val="single" w:sz="4" w:space="0" w:color="auto"/>
              <w:left w:val="nil"/>
              <w:bottom w:val="nil"/>
              <w:right w:val="nil"/>
            </w:tcBorders>
            <w:shd w:val="clear" w:color="auto" w:fill="auto"/>
            <w:noWrap/>
            <w:vAlign w:val="center"/>
            <w:hideMark/>
          </w:tcPr>
          <w:p w14:paraId="7E94CAFB"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36,1</w:t>
            </w:r>
          </w:p>
        </w:tc>
        <w:tc>
          <w:tcPr>
            <w:tcW w:w="711" w:type="pct"/>
            <w:tcBorders>
              <w:top w:val="single" w:sz="4" w:space="0" w:color="auto"/>
              <w:left w:val="nil"/>
              <w:bottom w:val="nil"/>
              <w:right w:val="nil"/>
            </w:tcBorders>
            <w:shd w:val="clear" w:color="auto" w:fill="auto"/>
            <w:noWrap/>
            <w:vAlign w:val="center"/>
            <w:hideMark/>
          </w:tcPr>
          <w:p w14:paraId="2D3BF31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25,3</w:t>
            </w:r>
          </w:p>
        </w:tc>
        <w:tc>
          <w:tcPr>
            <w:tcW w:w="671" w:type="pct"/>
            <w:vMerge w:val="restart"/>
            <w:tcBorders>
              <w:top w:val="single" w:sz="4" w:space="0" w:color="auto"/>
              <w:left w:val="nil"/>
              <w:bottom w:val="nil"/>
              <w:right w:val="nil"/>
            </w:tcBorders>
            <w:shd w:val="clear" w:color="auto" w:fill="auto"/>
            <w:noWrap/>
            <w:vAlign w:val="center"/>
            <w:hideMark/>
          </w:tcPr>
          <w:p w14:paraId="6FE9DFEB"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7,9</w:t>
            </w:r>
          </w:p>
        </w:tc>
        <w:tc>
          <w:tcPr>
            <w:tcW w:w="758" w:type="pct"/>
            <w:vMerge w:val="restart"/>
            <w:tcBorders>
              <w:top w:val="nil"/>
              <w:left w:val="nil"/>
              <w:bottom w:val="nil"/>
              <w:right w:val="nil"/>
            </w:tcBorders>
            <w:shd w:val="clear" w:color="auto" w:fill="auto"/>
            <w:noWrap/>
            <w:vAlign w:val="center"/>
            <w:hideMark/>
          </w:tcPr>
          <w:p w14:paraId="7A40326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6,3</w:t>
            </w:r>
          </w:p>
        </w:tc>
      </w:tr>
      <w:tr w:rsidR="00637A2E" w:rsidRPr="00637A2E" w14:paraId="04147336" w14:textId="77777777" w:rsidTr="00EC1A32">
        <w:trPr>
          <w:trHeight w:val="300"/>
        </w:trPr>
        <w:tc>
          <w:tcPr>
            <w:tcW w:w="534" w:type="pct"/>
            <w:vMerge/>
            <w:tcBorders>
              <w:top w:val="single" w:sz="4" w:space="0" w:color="auto"/>
              <w:left w:val="nil"/>
              <w:bottom w:val="nil"/>
              <w:right w:val="nil"/>
            </w:tcBorders>
            <w:vAlign w:val="center"/>
            <w:hideMark/>
          </w:tcPr>
          <w:p w14:paraId="5C38BB06"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nil"/>
              <w:right w:val="nil"/>
            </w:tcBorders>
            <w:shd w:val="clear" w:color="auto" w:fill="auto"/>
            <w:noWrap/>
            <w:vAlign w:val="center"/>
            <w:hideMark/>
          </w:tcPr>
          <w:p w14:paraId="076BC60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nil"/>
              <w:right w:val="nil"/>
            </w:tcBorders>
            <w:shd w:val="clear" w:color="auto" w:fill="auto"/>
            <w:noWrap/>
            <w:vAlign w:val="center"/>
            <w:hideMark/>
          </w:tcPr>
          <w:p w14:paraId="4C989CC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24,4</w:t>
            </w:r>
          </w:p>
        </w:tc>
        <w:tc>
          <w:tcPr>
            <w:tcW w:w="512" w:type="pct"/>
            <w:tcBorders>
              <w:top w:val="nil"/>
              <w:left w:val="nil"/>
              <w:bottom w:val="nil"/>
              <w:right w:val="nil"/>
            </w:tcBorders>
            <w:shd w:val="clear" w:color="auto" w:fill="auto"/>
            <w:noWrap/>
            <w:vAlign w:val="center"/>
            <w:hideMark/>
          </w:tcPr>
          <w:p w14:paraId="15C3A53C"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52,7</w:t>
            </w:r>
          </w:p>
        </w:tc>
        <w:tc>
          <w:tcPr>
            <w:tcW w:w="706" w:type="pct"/>
            <w:tcBorders>
              <w:top w:val="nil"/>
              <w:left w:val="nil"/>
              <w:bottom w:val="nil"/>
              <w:right w:val="nil"/>
            </w:tcBorders>
            <w:shd w:val="clear" w:color="auto" w:fill="auto"/>
            <w:noWrap/>
            <w:vAlign w:val="center"/>
            <w:hideMark/>
          </w:tcPr>
          <w:p w14:paraId="0DA6BCF3"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28,3</w:t>
            </w:r>
          </w:p>
        </w:tc>
        <w:tc>
          <w:tcPr>
            <w:tcW w:w="711" w:type="pct"/>
            <w:tcBorders>
              <w:top w:val="nil"/>
              <w:left w:val="nil"/>
              <w:bottom w:val="nil"/>
              <w:right w:val="nil"/>
            </w:tcBorders>
            <w:shd w:val="clear" w:color="auto" w:fill="auto"/>
            <w:noWrap/>
            <w:vAlign w:val="center"/>
            <w:hideMark/>
          </w:tcPr>
          <w:p w14:paraId="50AB7B10"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31,6</w:t>
            </w:r>
          </w:p>
        </w:tc>
        <w:tc>
          <w:tcPr>
            <w:tcW w:w="671" w:type="pct"/>
            <w:vMerge/>
            <w:tcBorders>
              <w:top w:val="single" w:sz="4" w:space="0" w:color="auto"/>
              <w:left w:val="nil"/>
              <w:bottom w:val="nil"/>
              <w:right w:val="nil"/>
            </w:tcBorders>
            <w:vAlign w:val="center"/>
            <w:hideMark/>
          </w:tcPr>
          <w:p w14:paraId="5D9CE4E9" w14:textId="77777777" w:rsidR="00637A2E" w:rsidRPr="00637A2E" w:rsidRDefault="00637A2E" w:rsidP="00874686">
            <w:pPr>
              <w:pStyle w:val="StyleBodyTextIndent210ptFirstline0cmRight012cm"/>
              <w:spacing w:before="60"/>
              <w:ind w:right="68"/>
              <w:jc w:val="center"/>
              <w:rPr>
                <w:szCs w:val="22"/>
                <w:lang w:val="sl-SI"/>
              </w:rPr>
            </w:pPr>
          </w:p>
        </w:tc>
        <w:tc>
          <w:tcPr>
            <w:tcW w:w="758" w:type="pct"/>
            <w:vMerge/>
            <w:tcBorders>
              <w:top w:val="nil"/>
              <w:left w:val="nil"/>
              <w:bottom w:val="nil"/>
              <w:right w:val="nil"/>
            </w:tcBorders>
            <w:vAlign w:val="center"/>
            <w:hideMark/>
          </w:tcPr>
          <w:p w14:paraId="67069F26" w14:textId="77777777" w:rsidR="00637A2E" w:rsidRPr="00637A2E" w:rsidRDefault="00637A2E" w:rsidP="00874686">
            <w:pPr>
              <w:pStyle w:val="StyleBodyTextIndent210ptFirstline0cmRight012cm"/>
              <w:spacing w:before="60"/>
              <w:ind w:right="68"/>
              <w:jc w:val="center"/>
              <w:rPr>
                <w:szCs w:val="22"/>
                <w:lang w:val="sl-SI"/>
              </w:rPr>
            </w:pPr>
          </w:p>
        </w:tc>
      </w:tr>
      <w:tr w:rsidR="00637A2E" w:rsidRPr="00637A2E" w14:paraId="2F8F7B3E" w14:textId="77777777" w:rsidTr="00EC1A32">
        <w:trPr>
          <w:trHeight w:val="300"/>
        </w:trPr>
        <w:tc>
          <w:tcPr>
            <w:tcW w:w="534" w:type="pct"/>
            <w:vMerge w:val="restart"/>
            <w:tcBorders>
              <w:top w:val="nil"/>
              <w:left w:val="nil"/>
              <w:bottom w:val="nil"/>
              <w:right w:val="nil"/>
            </w:tcBorders>
            <w:shd w:val="clear" w:color="auto" w:fill="auto"/>
            <w:noWrap/>
            <w:vAlign w:val="center"/>
            <w:hideMark/>
          </w:tcPr>
          <w:p w14:paraId="1F94A28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2003</w:t>
            </w:r>
          </w:p>
        </w:tc>
        <w:tc>
          <w:tcPr>
            <w:tcW w:w="596" w:type="pct"/>
            <w:tcBorders>
              <w:top w:val="nil"/>
              <w:left w:val="nil"/>
              <w:bottom w:val="nil"/>
              <w:right w:val="nil"/>
            </w:tcBorders>
            <w:shd w:val="clear" w:color="auto" w:fill="auto"/>
            <w:noWrap/>
            <w:vAlign w:val="center"/>
            <w:hideMark/>
          </w:tcPr>
          <w:p w14:paraId="242AF812"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nil"/>
              <w:left w:val="nil"/>
              <w:bottom w:val="nil"/>
              <w:right w:val="nil"/>
            </w:tcBorders>
            <w:shd w:val="clear" w:color="auto" w:fill="auto"/>
            <w:noWrap/>
            <w:vAlign w:val="center"/>
            <w:hideMark/>
          </w:tcPr>
          <w:p w14:paraId="1F7B8FC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23,3</w:t>
            </w:r>
          </w:p>
        </w:tc>
        <w:tc>
          <w:tcPr>
            <w:tcW w:w="512" w:type="pct"/>
            <w:tcBorders>
              <w:top w:val="nil"/>
              <w:left w:val="nil"/>
              <w:bottom w:val="nil"/>
              <w:right w:val="nil"/>
            </w:tcBorders>
            <w:shd w:val="clear" w:color="auto" w:fill="auto"/>
            <w:noWrap/>
            <w:vAlign w:val="center"/>
            <w:hideMark/>
          </w:tcPr>
          <w:p w14:paraId="6247727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59,7</w:t>
            </w:r>
          </w:p>
        </w:tc>
        <w:tc>
          <w:tcPr>
            <w:tcW w:w="706" w:type="pct"/>
            <w:tcBorders>
              <w:top w:val="nil"/>
              <w:left w:val="nil"/>
              <w:bottom w:val="nil"/>
              <w:right w:val="nil"/>
            </w:tcBorders>
            <w:shd w:val="clear" w:color="auto" w:fill="auto"/>
            <w:noWrap/>
            <w:vAlign w:val="center"/>
            <w:hideMark/>
          </w:tcPr>
          <w:p w14:paraId="69FF7A1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36,4</w:t>
            </w:r>
          </w:p>
        </w:tc>
        <w:tc>
          <w:tcPr>
            <w:tcW w:w="711" w:type="pct"/>
            <w:tcBorders>
              <w:top w:val="nil"/>
              <w:left w:val="nil"/>
              <w:bottom w:val="nil"/>
              <w:right w:val="nil"/>
            </w:tcBorders>
            <w:shd w:val="clear" w:color="auto" w:fill="auto"/>
            <w:noWrap/>
            <w:vAlign w:val="center"/>
            <w:hideMark/>
          </w:tcPr>
          <w:p w14:paraId="08FC11BD"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25,8</w:t>
            </w:r>
          </w:p>
        </w:tc>
        <w:tc>
          <w:tcPr>
            <w:tcW w:w="671" w:type="pct"/>
            <w:vMerge w:val="restart"/>
            <w:tcBorders>
              <w:top w:val="nil"/>
              <w:left w:val="nil"/>
              <w:bottom w:val="nil"/>
              <w:right w:val="nil"/>
            </w:tcBorders>
            <w:shd w:val="clear" w:color="auto" w:fill="auto"/>
            <w:noWrap/>
            <w:vAlign w:val="center"/>
            <w:hideMark/>
          </w:tcPr>
          <w:p w14:paraId="49412E6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7,8</w:t>
            </w:r>
          </w:p>
        </w:tc>
        <w:tc>
          <w:tcPr>
            <w:tcW w:w="758" w:type="pct"/>
            <w:vMerge w:val="restart"/>
            <w:tcBorders>
              <w:top w:val="nil"/>
              <w:left w:val="nil"/>
              <w:bottom w:val="nil"/>
              <w:right w:val="nil"/>
            </w:tcBorders>
            <w:shd w:val="clear" w:color="auto" w:fill="auto"/>
            <w:noWrap/>
            <w:vAlign w:val="center"/>
            <w:hideMark/>
          </w:tcPr>
          <w:p w14:paraId="649E7F88"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6,2</w:t>
            </w:r>
          </w:p>
        </w:tc>
      </w:tr>
      <w:tr w:rsidR="00637A2E" w:rsidRPr="00637A2E" w14:paraId="029C2DA1" w14:textId="77777777" w:rsidTr="00EC1A32">
        <w:trPr>
          <w:trHeight w:val="300"/>
        </w:trPr>
        <w:tc>
          <w:tcPr>
            <w:tcW w:w="534" w:type="pct"/>
            <w:vMerge/>
            <w:tcBorders>
              <w:top w:val="nil"/>
              <w:left w:val="nil"/>
              <w:bottom w:val="nil"/>
              <w:right w:val="nil"/>
            </w:tcBorders>
            <w:vAlign w:val="center"/>
            <w:hideMark/>
          </w:tcPr>
          <w:p w14:paraId="2E77D683"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nil"/>
              <w:right w:val="nil"/>
            </w:tcBorders>
            <w:shd w:val="clear" w:color="auto" w:fill="auto"/>
            <w:noWrap/>
            <w:vAlign w:val="center"/>
            <w:hideMark/>
          </w:tcPr>
          <w:p w14:paraId="466D230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nil"/>
              <w:right w:val="nil"/>
            </w:tcBorders>
            <w:shd w:val="clear" w:color="auto" w:fill="auto"/>
            <w:noWrap/>
            <w:vAlign w:val="center"/>
            <w:hideMark/>
          </w:tcPr>
          <w:p w14:paraId="63E5894D"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25,4</w:t>
            </w:r>
          </w:p>
        </w:tc>
        <w:tc>
          <w:tcPr>
            <w:tcW w:w="512" w:type="pct"/>
            <w:tcBorders>
              <w:top w:val="nil"/>
              <w:left w:val="nil"/>
              <w:bottom w:val="nil"/>
              <w:right w:val="nil"/>
            </w:tcBorders>
            <w:shd w:val="clear" w:color="auto" w:fill="auto"/>
            <w:noWrap/>
            <w:vAlign w:val="center"/>
            <w:hideMark/>
          </w:tcPr>
          <w:p w14:paraId="77D12CE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54,0</w:t>
            </w:r>
          </w:p>
        </w:tc>
        <w:tc>
          <w:tcPr>
            <w:tcW w:w="706" w:type="pct"/>
            <w:tcBorders>
              <w:top w:val="nil"/>
              <w:left w:val="nil"/>
              <w:bottom w:val="nil"/>
              <w:right w:val="nil"/>
            </w:tcBorders>
            <w:shd w:val="clear" w:color="auto" w:fill="auto"/>
            <w:noWrap/>
            <w:vAlign w:val="center"/>
            <w:hideMark/>
          </w:tcPr>
          <w:p w14:paraId="2EB59E1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28,6</w:t>
            </w:r>
          </w:p>
        </w:tc>
        <w:tc>
          <w:tcPr>
            <w:tcW w:w="711" w:type="pct"/>
            <w:tcBorders>
              <w:top w:val="nil"/>
              <w:left w:val="nil"/>
              <w:bottom w:val="nil"/>
              <w:right w:val="nil"/>
            </w:tcBorders>
            <w:shd w:val="clear" w:color="auto" w:fill="auto"/>
            <w:noWrap/>
            <w:vAlign w:val="center"/>
            <w:hideMark/>
          </w:tcPr>
          <w:p w14:paraId="087FE840"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32,1</w:t>
            </w:r>
          </w:p>
        </w:tc>
        <w:tc>
          <w:tcPr>
            <w:tcW w:w="671" w:type="pct"/>
            <w:vMerge/>
            <w:tcBorders>
              <w:top w:val="nil"/>
              <w:left w:val="nil"/>
              <w:bottom w:val="nil"/>
              <w:right w:val="nil"/>
            </w:tcBorders>
            <w:vAlign w:val="center"/>
            <w:hideMark/>
          </w:tcPr>
          <w:p w14:paraId="2DFDA2B0" w14:textId="77777777" w:rsidR="00637A2E" w:rsidRPr="00637A2E" w:rsidRDefault="00637A2E" w:rsidP="00874686">
            <w:pPr>
              <w:pStyle w:val="StyleBodyTextIndent210ptFirstline0cmRight012cm"/>
              <w:spacing w:before="60"/>
              <w:ind w:right="68"/>
              <w:jc w:val="center"/>
              <w:rPr>
                <w:szCs w:val="22"/>
                <w:lang w:val="sl-SI"/>
              </w:rPr>
            </w:pPr>
          </w:p>
        </w:tc>
        <w:tc>
          <w:tcPr>
            <w:tcW w:w="758" w:type="pct"/>
            <w:vMerge/>
            <w:tcBorders>
              <w:top w:val="nil"/>
              <w:left w:val="nil"/>
              <w:bottom w:val="nil"/>
              <w:right w:val="nil"/>
            </w:tcBorders>
            <w:vAlign w:val="center"/>
            <w:hideMark/>
          </w:tcPr>
          <w:p w14:paraId="7656FFB1" w14:textId="77777777" w:rsidR="00637A2E" w:rsidRPr="00637A2E" w:rsidRDefault="00637A2E" w:rsidP="00874686">
            <w:pPr>
              <w:pStyle w:val="StyleBodyTextIndent210ptFirstline0cmRight012cm"/>
              <w:spacing w:before="60"/>
              <w:ind w:right="68"/>
              <w:jc w:val="center"/>
              <w:rPr>
                <w:szCs w:val="22"/>
                <w:lang w:val="sl-SI"/>
              </w:rPr>
            </w:pPr>
          </w:p>
        </w:tc>
      </w:tr>
      <w:tr w:rsidR="00637A2E" w:rsidRPr="00637A2E" w14:paraId="4E2359D3" w14:textId="77777777" w:rsidTr="00EC1A32">
        <w:trPr>
          <w:trHeight w:val="300"/>
        </w:trPr>
        <w:tc>
          <w:tcPr>
            <w:tcW w:w="534" w:type="pct"/>
            <w:vMerge w:val="restart"/>
            <w:tcBorders>
              <w:top w:val="nil"/>
              <w:left w:val="nil"/>
              <w:bottom w:val="nil"/>
              <w:right w:val="nil"/>
            </w:tcBorders>
            <w:shd w:val="clear" w:color="auto" w:fill="auto"/>
            <w:noWrap/>
            <w:vAlign w:val="center"/>
            <w:hideMark/>
          </w:tcPr>
          <w:p w14:paraId="3C8F2493"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2005</w:t>
            </w:r>
          </w:p>
        </w:tc>
        <w:tc>
          <w:tcPr>
            <w:tcW w:w="596" w:type="pct"/>
            <w:tcBorders>
              <w:top w:val="nil"/>
              <w:left w:val="nil"/>
              <w:bottom w:val="nil"/>
              <w:right w:val="nil"/>
            </w:tcBorders>
            <w:shd w:val="clear" w:color="auto" w:fill="auto"/>
            <w:noWrap/>
            <w:vAlign w:val="center"/>
            <w:hideMark/>
          </w:tcPr>
          <w:p w14:paraId="5A7ADFE3"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nil"/>
              <w:left w:val="nil"/>
              <w:bottom w:val="nil"/>
              <w:right w:val="nil"/>
            </w:tcBorders>
            <w:shd w:val="clear" w:color="auto" w:fill="auto"/>
            <w:noWrap/>
            <w:vAlign w:val="center"/>
            <w:hideMark/>
          </w:tcPr>
          <w:p w14:paraId="36EBF90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23,5</w:t>
            </w:r>
          </w:p>
        </w:tc>
        <w:tc>
          <w:tcPr>
            <w:tcW w:w="512" w:type="pct"/>
            <w:tcBorders>
              <w:top w:val="nil"/>
              <w:left w:val="nil"/>
              <w:bottom w:val="nil"/>
              <w:right w:val="nil"/>
            </w:tcBorders>
            <w:shd w:val="clear" w:color="auto" w:fill="auto"/>
            <w:noWrap/>
            <w:vAlign w:val="center"/>
            <w:hideMark/>
          </w:tcPr>
          <w:p w14:paraId="15BE7604"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59,9</w:t>
            </w:r>
          </w:p>
        </w:tc>
        <w:tc>
          <w:tcPr>
            <w:tcW w:w="706" w:type="pct"/>
            <w:tcBorders>
              <w:top w:val="nil"/>
              <w:left w:val="nil"/>
              <w:bottom w:val="nil"/>
              <w:right w:val="nil"/>
            </w:tcBorders>
            <w:shd w:val="clear" w:color="auto" w:fill="auto"/>
            <w:noWrap/>
            <w:vAlign w:val="center"/>
            <w:hideMark/>
          </w:tcPr>
          <w:p w14:paraId="46C22875"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36,4</w:t>
            </w:r>
          </w:p>
        </w:tc>
        <w:tc>
          <w:tcPr>
            <w:tcW w:w="711" w:type="pct"/>
            <w:tcBorders>
              <w:top w:val="nil"/>
              <w:left w:val="nil"/>
              <w:bottom w:val="nil"/>
              <w:right w:val="nil"/>
            </w:tcBorders>
            <w:shd w:val="clear" w:color="auto" w:fill="auto"/>
            <w:noWrap/>
            <w:vAlign w:val="center"/>
            <w:hideMark/>
          </w:tcPr>
          <w:p w14:paraId="2196E26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24,7</w:t>
            </w:r>
          </w:p>
        </w:tc>
        <w:tc>
          <w:tcPr>
            <w:tcW w:w="671" w:type="pct"/>
            <w:vMerge w:val="restart"/>
            <w:tcBorders>
              <w:top w:val="nil"/>
              <w:left w:val="nil"/>
              <w:bottom w:val="nil"/>
              <w:right w:val="nil"/>
            </w:tcBorders>
            <w:shd w:val="clear" w:color="auto" w:fill="auto"/>
            <w:noWrap/>
            <w:vAlign w:val="center"/>
            <w:hideMark/>
          </w:tcPr>
          <w:p w14:paraId="3478515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7,1</w:t>
            </w:r>
          </w:p>
        </w:tc>
        <w:tc>
          <w:tcPr>
            <w:tcW w:w="758" w:type="pct"/>
            <w:vMerge w:val="restart"/>
            <w:tcBorders>
              <w:top w:val="nil"/>
              <w:left w:val="nil"/>
              <w:bottom w:val="nil"/>
              <w:right w:val="nil"/>
            </w:tcBorders>
            <w:shd w:val="clear" w:color="auto" w:fill="auto"/>
            <w:noWrap/>
            <w:vAlign w:val="center"/>
            <w:hideMark/>
          </w:tcPr>
          <w:p w14:paraId="06D5AB90"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5,7</w:t>
            </w:r>
          </w:p>
        </w:tc>
      </w:tr>
      <w:tr w:rsidR="00637A2E" w:rsidRPr="00637A2E" w14:paraId="46A8351F" w14:textId="77777777" w:rsidTr="00EC1A32">
        <w:trPr>
          <w:trHeight w:val="300"/>
        </w:trPr>
        <w:tc>
          <w:tcPr>
            <w:tcW w:w="534" w:type="pct"/>
            <w:vMerge/>
            <w:tcBorders>
              <w:top w:val="nil"/>
              <w:left w:val="nil"/>
              <w:bottom w:val="nil"/>
              <w:right w:val="nil"/>
            </w:tcBorders>
            <w:vAlign w:val="center"/>
            <w:hideMark/>
          </w:tcPr>
          <w:p w14:paraId="3D39DB6E"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nil"/>
              <w:right w:val="nil"/>
            </w:tcBorders>
            <w:shd w:val="clear" w:color="auto" w:fill="auto"/>
            <w:noWrap/>
            <w:vAlign w:val="center"/>
            <w:hideMark/>
          </w:tcPr>
          <w:p w14:paraId="6FA3D463"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nil"/>
              <w:right w:val="nil"/>
            </w:tcBorders>
            <w:shd w:val="clear" w:color="auto" w:fill="auto"/>
            <w:noWrap/>
            <w:vAlign w:val="center"/>
            <w:hideMark/>
          </w:tcPr>
          <w:p w14:paraId="7B17DA7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25,4</w:t>
            </w:r>
          </w:p>
        </w:tc>
        <w:tc>
          <w:tcPr>
            <w:tcW w:w="512" w:type="pct"/>
            <w:tcBorders>
              <w:top w:val="nil"/>
              <w:left w:val="nil"/>
              <w:bottom w:val="nil"/>
              <w:right w:val="nil"/>
            </w:tcBorders>
            <w:shd w:val="clear" w:color="auto" w:fill="auto"/>
            <w:noWrap/>
            <w:vAlign w:val="center"/>
            <w:hideMark/>
          </w:tcPr>
          <w:p w14:paraId="5D24F4D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54,7</w:t>
            </w:r>
          </w:p>
        </w:tc>
        <w:tc>
          <w:tcPr>
            <w:tcW w:w="706" w:type="pct"/>
            <w:tcBorders>
              <w:top w:val="nil"/>
              <w:left w:val="nil"/>
              <w:bottom w:val="nil"/>
              <w:right w:val="nil"/>
            </w:tcBorders>
            <w:shd w:val="clear" w:color="auto" w:fill="auto"/>
            <w:noWrap/>
            <w:vAlign w:val="center"/>
            <w:hideMark/>
          </w:tcPr>
          <w:p w14:paraId="6DD21F24"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29,3</w:t>
            </w:r>
          </w:p>
        </w:tc>
        <w:tc>
          <w:tcPr>
            <w:tcW w:w="711" w:type="pct"/>
            <w:tcBorders>
              <w:top w:val="nil"/>
              <w:left w:val="nil"/>
              <w:bottom w:val="nil"/>
              <w:right w:val="nil"/>
            </w:tcBorders>
            <w:shd w:val="clear" w:color="auto" w:fill="auto"/>
            <w:noWrap/>
            <w:vAlign w:val="center"/>
            <w:hideMark/>
          </w:tcPr>
          <w:p w14:paraId="3101A103"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30,4</w:t>
            </w:r>
          </w:p>
        </w:tc>
        <w:tc>
          <w:tcPr>
            <w:tcW w:w="671" w:type="pct"/>
            <w:vMerge/>
            <w:tcBorders>
              <w:top w:val="nil"/>
              <w:left w:val="nil"/>
              <w:bottom w:val="nil"/>
              <w:right w:val="nil"/>
            </w:tcBorders>
            <w:vAlign w:val="center"/>
            <w:hideMark/>
          </w:tcPr>
          <w:p w14:paraId="268AD086" w14:textId="77777777" w:rsidR="00637A2E" w:rsidRPr="00637A2E" w:rsidRDefault="00637A2E" w:rsidP="00874686">
            <w:pPr>
              <w:pStyle w:val="StyleBodyTextIndent210ptFirstline0cmRight012cm"/>
              <w:spacing w:before="60"/>
              <w:ind w:right="68"/>
              <w:jc w:val="center"/>
              <w:rPr>
                <w:szCs w:val="22"/>
                <w:lang w:val="sl-SI"/>
              </w:rPr>
            </w:pPr>
          </w:p>
        </w:tc>
        <w:tc>
          <w:tcPr>
            <w:tcW w:w="758" w:type="pct"/>
            <w:vMerge/>
            <w:tcBorders>
              <w:top w:val="nil"/>
              <w:left w:val="nil"/>
              <w:bottom w:val="nil"/>
              <w:right w:val="nil"/>
            </w:tcBorders>
            <w:vAlign w:val="center"/>
            <w:hideMark/>
          </w:tcPr>
          <w:p w14:paraId="366E75C1" w14:textId="77777777" w:rsidR="00637A2E" w:rsidRPr="00637A2E" w:rsidRDefault="00637A2E" w:rsidP="00874686">
            <w:pPr>
              <w:pStyle w:val="StyleBodyTextIndent210ptFirstline0cmRight012cm"/>
              <w:spacing w:before="60"/>
              <w:ind w:right="68"/>
              <w:jc w:val="center"/>
              <w:rPr>
                <w:szCs w:val="22"/>
                <w:lang w:val="sl-SI"/>
              </w:rPr>
            </w:pPr>
          </w:p>
        </w:tc>
      </w:tr>
      <w:tr w:rsidR="00637A2E" w:rsidRPr="00637A2E" w14:paraId="598DC0AB" w14:textId="77777777" w:rsidTr="00EC1A32">
        <w:trPr>
          <w:trHeight w:val="300"/>
        </w:trPr>
        <w:tc>
          <w:tcPr>
            <w:tcW w:w="534" w:type="pct"/>
            <w:vMerge w:val="restart"/>
            <w:tcBorders>
              <w:top w:val="nil"/>
              <w:left w:val="nil"/>
              <w:bottom w:val="nil"/>
              <w:right w:val="nil"/>
            </w:tcBorders>
            <w:shd w:val="clear" w:color="auto" w:fill="auto"/>
            <w:noWrap/>
            <w:vAlign w:val="center"/>
            <w:hideMark/>
          </w:tcPr>
          <w:p w14:paraId="3E0AAF18"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2008</w:t>
            </w:r>
          </w:p>
        </w:tc>
        <w:tc>
          <w:tcPr>
            <w:tcW w:w="596" w:type="pct"/>
            <w:tcBorders>
              <w:top w:val="nil"/>
              <w:left w:val="nil"/>
              <w:bottom w:val="nil"/>
              <w:right w:val="nil"/>
            </w:tcBorders>
            <w:shd w:val="clear" w:color="auto" w:fill="auto"/>
            <w:noWrap/>
            <w:vAlign w:val="center"/>
            <w:hideMark/>
          </w:tcPr>
          <w:p w14:paraId="3AEBF47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nil"/>
              <w:left w:val="nil"/>
              <w:bottom w:val="nil"/>
              <w:right w:val="nil"/>
            </w:tcBorders>
            <w:shd w:val="clear" w:color="auto" w:fill="auto"/>
            <w:noWrap/>
            <w:vAlign w:val="center"/>
            <w:hideMark/>
          </w:tcPr>
          <w:p w14:paraId="090EAE1C"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23,4</w:t>
            </w:r>
          </w:p>
        </w:tc>
        <w:tc>
          <w:tcPr>
            <w:tcW w:w="512" w:type="pct"/>
            <w:tcBorders>
              <w:top w:val="nil"/>
              <w:left w:val="nil"/>
              <w:bottom w:val="nil"/>
              <w:right w:val="nil"/>
            </w:tcBorders>
            <w:shd w:val="clear" w:color="auto" w:fill="auto"/>
            <w:noWrap/>
            <w:vAlign w:val="center"/>
            <w:hideMark/>
          </w:tcPr>
          <w:p w14:paraId="133A2E15"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60,5</w:t>
            </w:r>
          </w:p>
        </w:tc>
        <w:tc>
          <w:tcPr>
            <w:tcW w:w="706" w:type="pct"/>
            <w:tcBorders>
              <w:top w:val="nil"/>
              <w:left w:val="nil"/>
              <w:bottom w:val="nil"/>
              <w:right w:val="nil"/>
            </w:tcBorders>
            <w:shd w:val="clear" w:color="auto" w:fill="auto"/>
            <w:noWrap/>
            <w:vAlign w:val="center"/>
            <w:hideMark/>
          </w:tcPr>
          <w:p w14:paraId="3A06A12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37,1</w:t>
            </w:r>
          </w:p>
        </w:tc>
        <w:tc>
          <w:tcPr>
            <w:tcW w:w="711" w:type="pct"/>
            <w:tcBorders>
              <w:top w:val="nil"/>
              <w:left w:val="nil"/>
              <w:bottom w:val="nil"/>
              <w:right w:val="nil"/>
            </w:tcBorders>
            <w:shd w:val="clear" w:color="auto" w:fill="auto"/>
            <w:noWrap/>
            <w:vAlign w:val="center"/>
            <w:hideMark/>
          </w:tcPr>
          <w:p w14:paraId="2B61915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24,3</w:t>
            </w:r>
          </w:p>
        </w:tc>
        <w:tc>
          <w:tcPr>
            <w:tcW w:w="671" w:type="pct"/>
            <w:vMerge w:val="restart"/>
            <w:tcBorders>
              <w:top w:val="nil"/>
              <w:left w:val="nil"/>
              <w:bottom w:val="nil"/>
              <w:right w:val="nil"/>
            </w:tcBorders>
            <w:shd w:val="clear" w:color="auto" w:fill="auto"/>
            <w:noWrap/>
            <w:vAlign w:val="center"/>
            <w:hideMark/>
          </w:tcPr>
          <w:p w14:paraId="591087B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7,2</w:t>
            </w:r>
          </w:p>
        </w:tc>
        <w:tc>
          <w:tcPr>
            <w:tcW w:w="758" w:type="pct"/>
            <w:vMerge w:val="restart"/>
            <w:tcBorders>
              <w:top w:val="nil"/>
              <w:left w:val="nil"/>
              <w:bottom w:val="nil"/>
              <w:right w:val="nil"/>
            </w:tcBorders>
            <w:shd w:val="clear" w:color="auto" w:fill="auto"/>
            <w:noWrap/>
            <w:vAlign w:val="center"/>
            <w:hideMark/>
          </w:tcPr>
          <w:p w14:paraId="6A339FF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5,2</w:t>
            </w:r>
          </w:p>
        </w:tc>
      </w:tr>
      <w:tr w:rsidR="00637A2E" w:rsidRPr="00637A2E" w14:paraId="512B8BEB" w14:textId="77777777" w:rsidTr="00EC1A32">
        <w:trPr>
          <w:trHeight w:val="300"/>
        </w:trPr>
        <w:tc>
          <w:tcPr>
            <w:tcW w:w="534" w:type="pct"/>
            <w:vMerge/>
            <w:tcBorders>
              <w:top w:val="nil"/>
              <w:left w:val="nil"/>
              <w:bottom w:val="nil"/>
              <w:right w:val="nil"/>
            </w:tcBorders>
            <w:vAlign w:val="center"/>
            <w:hideMark/>
          </w:tcPr>
          <w:p w14:paraId="2E254174"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nil"/>
              <w:right w:val="nil"/>
            </w:tcBorders>
            <w:shd w:val="clear" w:color="auto" w:fill="auto"/>
            <w:noWrap/>
            <w:vAlign w:val="center"/>
            <w:hideMark/>
          </w:tcPr>
          <w:p w14:paraId="664CD71B"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nil"/>
              <w:right w:val="nil"/>
            </w:tcBorders>
            <w:shd w:val="clear" w:color="auto" w:fill="auto"/>
            <w:noWrap/>
            <w:vAlign w:val="center"/>
            <w:hideMark/>
          </w:tcPr>
          <w:p w14:paraId="2CE50A1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26,3</w:t>
            </w:r>
          </w:p>
        </w:tc>
        <w:tc>
          <w:tcPr>
            <w:tcW w:w="512" w:type="pct"/>
            <w:tcBorders>
              <w:top w:val="nil"/>
              <w:left w:val="nil"/>
              <w:bottom w:val="nil"/>
              <w:right w:val="nil"/>
            </w:tcBorders>
            <w:shd w:val="clear" w:color="auto" w:fill="auto"/>
            <w:noWrap/>
            <w:vAlign w:val="center"/>
            <w:hideMark/>
          </w:tcPr>
          <w:p w14:paraId="69C0E1A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56,3</w:t>
            </w:r>
          </w:p>
        </w:tc>
        <w:tc>
          <w:tcPr>
            <w:tcW w:w="706" w:type="pct"/>
            <w:tcBorders>
              <w:top w:val="nil"/>
              <w:left w:val="nil"/>
              <w:bottom w:val="nil"/>
              <w:right w:val="nil"/>
            </w:tcBorders>
            <w:shd w:val="clear" w:color="auto" w:fill="auto"/>
            <w:noWrap/>
            <w:vAlign w:val="center"/>
            <w:hideMark/>
          </w:tcPr>
          <w:p w14:paraId="279EBB6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30,0</w:t>
            </w:r>
          </w:p>
        </w:tc>
        <w:tc>
          <w:tcPr>
            <w:tcW w:w="711" w:type="pct"/>
            <w:tcBorders>
              <w:top w:val="nil"/>
              <w:left w:val="nil"/>
              <w:bottom w:val="nil"/>
              <w:right w:val="nil"/>
            </w:tcBorders>
            <w:shd w:val="clear" w:color="auto" w:fill="auto"/>
            <w:noWrap/>
            <w:vAlign w:val="center"/>
            <w:hideMark/>
          </w:tcPr>
          <w:p w14:paraId="0F896865"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29,5</w:t>
            </w:r>
          </w:p>
        </w:tc>
        <w:tc>
          <w:tcPr>
            <w:tcW w:w="671" w:type="pct"/>
            <w:vMerge/>
            <w:tcBorders>
              <w:top w:val="nil"/>
              <w:left w:val="nil"/>
              <w:bottom w:val="nil"/>
              <w:right w:val="nil"/>
            </w:tcBorders>
            <w:vAlign w:val="center"/>
            <w:hideMark/>
          </w:tcPr>
          <w:p w14:paraId="2576A0B7" w14:textId="77777777" w:rsidR="00637A2E" w:rsidRPr="00637A2E" w:rsidRDefault="00637A2E" w:rsidP="00874686">
            <w:pPr>
              <w:pStyle w:val="StyleBodyTextIndent210ptFirstline0cmRight012cm"/>
              <w:spacing w:before="60"/>
              <w:ind w:right="68"/>
              <w:jc w:val="center"/>
              <w:rPr>
                <w:szCs w:val="22"/>
                <w:lang w:val="sl-SI"/>
              </w:rPr>
            </w:pPr>
          </w:p>
        </w:tc>
        <w:tc>
          <w:tcPr>
            <w:tcW w:w="758" w:type="pct"/>
            <w:vMerge/>
            <w:tcBorders>
              <w:top w:val="nil"/>
              <w:left w:val="nil"/>
              <w:bottom w:val="nil"/>
              <w:right w:val="nil"/>
            </w:tcBorders>
            <w:vAlign w:val="center"/>
            <w:hideMark/>
          </w:tcPr>
          <w:p w14:paraId="530064E5" w14:textId="77777777" w:rsidR="00637A2E" w:rsidRPr="00637A2E" w:rsidRDefault="00637A2E" w:rsidP="00874686">
            <w:pPr>
              <w:pStyle w:val="StyleBodyTextIndent210ptFirstline0cmRight012cm"/>
              <w:spacing w:before="60"/>
              <w:ind w:right="68"/>
              <w:jc w:val="center"/>
              <w:rPr>
                <w:szCs w:val="22"/>
                <w:lang w:val="sl-SI"/>
              </w:rPr>
            </w:pPr>
          </w:p>
        </w:tc>
      </w:tr>
      <w:tr w:rsidR="00637A2E" w:rsidRPr="00637A2E" w14:paraId="33AC9327" w14:textId="77777777" w:rsidTr="00EC1A32">
        <w:trPr>
          <w:trHeight w:val="300"/>
        </w:trPr>
        <w:tc>
          <w:tcPr>
            <w:tcW w:w="534" w:type="pct"/>
            <w:vMerge w:val="restart"/>
            <w:tcBorders>
              <w:top w:val="nil"/>
              <w:left w:val="nil"/>
              <w:bottom w:val="nil"/>
              <w:right w:val="nil"/>
            </w:tcBorders>
            <w:shd w:val="clear" w:color="auto" w:fill="auto"/>
            <w:noWrap/>
            <w:vAlign w:val="center"/>
            <w:hideMark/>
          </w:tcPr>
          <w:p w14:paraId="0EA3915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2010</w:t>
            </w:r>
          </w:p>
        </w:tc>
        <w:tc>
          <w:tcPr>
            <w:tcW w:w="596" w:type="pct"/>
            <w:tcBorders>
              <w:top w:val="nil"/>
              <w:left w:val="nil"/>
              <w:bottom w:val="nil"/>
              <w:right w:val="nil"/>
            </w:tcBorders>
            <w:shd w:val="clear" w:color="auto" w:fill="auto"/>
            <w:noWrap/>
            <w:vAlign w:val="center"/>
            <w:hideMark/>
          </w:tcPr>
          <w:p w14:paraId="340B575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nil"/>
              <w:left w:val="nil"/>
              <w:bottom w:val="nil"/>
              <w:right w:val="nil"/>
            </w:tcBorders>
            <w:shd w:val="clear" w:color="auto" w:fill="auto"/>
            <w:noWrap/>
            <w:vAlign w:val="center"/>
            <w:hideMark/>
          </w:tcPr>
          <w:p w14:paraId="3222D9A2"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23,9</w:t>
            </w:r>
          </w:p>
        </w:tc>
        <w:tc>
          <w:tcPr>
            <w:tcW w:w="512" w:type="pct"/>
            <w:tcBorders>
              <w:top w:val="nil"/>
              <w:left w:val="nil"/>
              <w:bottom w:val="nil"/>
              <w:right w:val="nil"/>
            </w:tcBorders>
            <w:shd w:val="clear" w:color="auto" w:fill="auto"/>
            <w:noWrap/>
            <w:vAlign w:val="center"/>
            <w:hideMark/>
          </w:tcPr>
          <w:p w14:paraId="7E03EFB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59,6</w:t>
            </w:r>
          </w:p>
        </w:tc>
        <w:tc>
          <w:tcPr>
            <w:tcW w:w="706" w:type="pct"/>
            <w:tcBorders>
              <w:top w:val="nil"/>
              <w:left w:val="nil"/>
              <w:bottom w:val="nil"/>
              <w:right w:val="nil"/>
            </w:tcBorders>
            <w:shd w:val="clear" w:color="auto" w:fill="auto"/>
            <w:noWrap/>
            <w:vAlign w:val="center"/>
            <w:hideMark/>
          </w:tcPr>
          <w:p w14:paraId="780F635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35,7</w:t>
            </w:r>
          </w:p>
        </w:tc>
        <w:tc>
          <w:tcPr>
            <w:tcW w:w="711" w:type="pct"/>
            <w:tcBorders>
              <w:top w:val="nil"/>
              <w:left w:val="nil"/>
              <w:bottom w:val="nil"/>
              <w:right w:val="nil"/>
            </w:tcBorders>
            <w:shd w:val="clear" w:color="auto" w:fill="auto"/>
            <w:noWrap/>
            <w:vAlign w:val="center"/>
            <w:hideMark/>
          </w:tcPr>
          <w:p w14:paraId="01620AB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27,1</w:t>
            </w:r>
          </w:p>
        </w:tc>
        <w:tc>
          <w:tcPr>
            <w:tcW w:w="671" w:type="pct"/>
            <w:vMerge w:val="restart"/>
            <w:tcBorders>
              <w:top w:val="nil"/>
              <w:left w:val="nil"/>
              <w:bottom w:val="nil"/>
              <w:right w:val="nil"/>
            </w:tcBorders>
            <w:shd w:val="clear" w:color="auto" w:fill="auto"/>
            <w:noWrap/>
            <w:vAlign w:val="center"/>
            <w:hideMark/>
          </w:tcPr>
          <w:p w14:paraId="2942FFA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6,3</w:t>
            </w:r>
          </w:p>
        </w:tc>
        <w:tc>
          <w:tcPr>
            <w:tcW w:w="758" w:type="pct"/>
            <w:vMerge w:val="restart"/>
            <w:tcBorders>
              <w:top w:val="nil"/>
              <w:left w:val="nil"/>
              <w:bottom w:val="nil"/>
              <w:right w:val="nil"/>
            </w:tcBorders>
            <w:shd w:val="clear" w:color="auto" w:fill="auto"/>
            <w:noWrap/>
            <w:vAlign w:val="center"/>
            <w:hideMark/>
          </w:tcPr>
          <w:p w14:paraId="0A56815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5,4</w:t>
            </w:r>
          </w:p>
        </w:tc>
      </w:tr>
      <w:tr w:rsidR="00637A2E" w:rsidRPr="00637A2E" w14:paraId="45F6035F" w14:textId="77777777" w:rsidTr="00EC1A32">
        <w:trPr>
          <w:trHeight w:val="300"/>
        </w:trPr>
        <w:tc>
          <w:tcPr>
            <w:tcW w:w="534" w:type="pct"/>
            <w:vMerge/>
            <w:tcBorders>
              <w:top w:val="nil"/>
              <w:left w:val="nil"/>
              <w:bottom w:val="nil"/>
              <w:right w:val="nil"/>
            </w:tcBorders>
            <w:vAlign w:val="center"/>
            <w:hideMark/>
          </w:tcPr>
          <w:p w14:paraId="7E960543"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nil"/>
              <w:right w:val="nil"/>
            </w:tcBorders>
            <w:shd w:val="clear" w:color="auto" w:fill="auto"/>
            <w:noWrap/>
            <w:vAlign w:val="center"/>
            <w:hideMark/>
          </w:tcPr>
          <w:p w14:paraId="5C54C57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nil"/>
              <w:right w:val="nil"/>
            </w:tcBorders>
            <w:shd w:val="clear" w:color="auto" w:fill="auto"/>
            <w:noWrap/>
            <w:vAlign w:val="center"/>
            <w:hideMark/>
          </w:tcPr>
          <w:p w14:paraId="3B28AB5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26,7</w:t>
            </w:r>
          </w:p>
        </w:tc>
        <w:tc>
          <w:tcPr>
            <w:tcW w:w="512" w:type="pct"/>
            <w:tcBorders>
              <w:top w:val="nil"/>
              <w:left w:val="nil"/>
              <w:bottom w:val="nil"/>
              <w:right w:val="nil"/>
            </w:tcBorders>
            <w:shd w:val="clear" w:color="auto" w:fill="auto"/>
            <w:noWrap/>
            <w:vAlign w:val="center"/>
            <w:hideMark/>
          </w:tcPr>
          <w:p w14:paraId="22430B05"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56,2</w:t>
            </w:r>
          </w:p>
        </w:tc>
        <w:tc>
          <w:tcPr>
            <w:tcW w:w="706" w:type="pct"/>
            <w:tcBorders>
              <w:top w:val="nil"/>
              <w:left w:val="nil"/>
              <w:bottom w:val="nil"/>
              <w:right w:val="nil"/>
            </w:tcBorders>
            <w:shd w:val="clear" w:color="auto" w:fill="auto"/>
            <w:noWrap/>
            <w:vAlign w:val="center"/>
            <w:hideMark/>
          </w:tcPr>
          <w:p w14:paraId="010A787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29,4</w:t>
            </w:r>
          </w:p>
        </w:tc>
        <w:tc>
          <w:tcPr>
            <w:tcW w:w="711" w:type="pct"/>
            <w:tcBorders>
              <w:top w:val="nil"/>
              <w:left w:val="nil"/>
              <w:bottom w:val="nil"/>
              <w:right w:val="nil"/>
            </w:tcBorders>
            <w:shd w:val="clear" w:color="auto" w:fill="auto"/>
            <w:noWrap/>
            <w:vAlign w:val="center"/>
            <w:hideMark/>
          </w:tcPr>
          <w:p w14:paraId="09BB2E5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32,5</w:t>
            </w:r>
          </w:p>
        </w:tc>
        <w:tc>
          <w:tcPr>
            <w:tcW w:w="671" w:type="pct"/>
            <w:vMerge/>
            <w:tcBorders>
              <w:top w:val="nil"/>
              <w:left w:val="nil"/>
              <w:bottom w:val="nil"/>
              <w:right w:val="nil"/>
            </w:tcBorders>
            <w:vAlign w:val="center"/>
            <w:hideMark/>
          </w:tcPr>
          <w:p w14:paraId="6CEC93CB" w14:textId="77777777" w:rsidR="00637A2E" w:rsidRPr="00637A2E" w:rsidRDefault="00637A2E" w:rsidP="00874686">
            <w:pPr>
              <w:pStyle w:val="StyleBodyTextIndent210ptFirstline0cmRight012cm"/>
              <w:spacing w:before="60"/>
              <w:ind w:right="68"/>
              <w:jc w:val="center"/>
              <w:rPr>
                <w:szCs w:val="22"/>
                <w:lang w:val="sl-SI"/>
              </w:rPr>
            </w:pPr>
          </w:p>
        </w:tc>
        <w:tc>
          <w:tcPr>
            <w:tcW w:w="758" w:type="pct"/>
            <w:vMerge/>
            <w:tcBorders>
              <w:top w:val="nil"/>
              <w:left w:val="nil"/>
              <w:bottom w:val="nil"/>
              <w:right w:val="nil"/>
            </w:tcBorders>
            <w:vAlign w:val="center"/>
            <w:hideMark/>
          </w:tcPr>
          <w:p w14:paraId="4AEECB31" w14:textId="77777777" w:rsidR="00637A2E" w:rsidRPr="00637A2E" w:rsidRDefault="00637A2E" w:rsidP="00874686">
            <w:pPr>
              <w:pStyle w:val="StyleBodyTextIndent210ptFirstline0cmRight012cm"/>
              <w:spacing w:before="60"/>
              <w:ind w:right="68"/>
              <w:jc w:val="center"/>
              <w:rPr>
                <w:szCs w:val="22"/>
                <w:lang w:val="sl-SI"/>
              </w:rPr>
            </w:pPr>
          </w:p>
        </w:tc>
      </w:tr>
      <w:tr w:rsidR="00637A2E" w:rsidRPr="00637A2E" w14:paraId="38C7E39B" w14:textId="77777777" w:rsidTr="00EC1A32">
        <w:trPr>
          <w:trHeight w:val="300"/>
        </w:trPr>
        <w:tc>
          <w:tcPr>
            <w:tcW w:w="534" w:type="pct"/>
            <w:vMerge w:val="restart"/>
            <w:tcBorders>
              <w:top w:val="nil"/>
              <w:left w:val="nil"/>
              <w:bottom w:val="single" w:sz="4" w:space="0" w:color="000000"/>
              <w:right w:val="nil"/>
            </w:tcBorders>
            <w:shd w:val="clear" w:color="auto" w:fill="auto"/>
            <w:noWrap/>
            <w:vAlign w:val="center"/>
            <w:hideMark/>
          </w:tcPr>
          <w:p w14:paraId="09EC34EC"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2012</w:t>
            </w:r>
          </w:p>
        </w:tc>
        <w:tc>
          <w:tcPr>
            <w:tcW w:w="596" w:type="pct"/>
            <w:tcBorders>
              <w:top w:val="nil"/>
              <w:left w:val="nil"/>
              <w:bottom w:val="nil"/>
              <w:right w:val="nil"/>
            </w:tcBorders>
            <w:shd w:val="clear" w:color="auto" w:fill="auto"/>
            <w:noWrap/>
            <w:vAlign w:val="center"/>
            <w:hideMark/>
          </w:tcPr>
          <w:p w14:paraId="45B6FA4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nil"/>
              <w:left w:val="nil"/>
              <w:bottom w:val="nil"/>
              <w:right w:val="nil"/>
            </w:tcBorders>
            <w:shd w:val="clear" w:color="auto" w:fill="auto"/>
            <w:noWrap/>
            <w:vAlign w:val="center"/>
            <w:hideMark/>
          </w:tcPr>
          <w:p w14:paraId="17AD617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24,1</w:t>
            </w:r>
          </w:p>
        </w:tc>
        <w:tc>
          <w:tcPr>
            <w:tcW w:w="512" w:type="pct"/>
            <w:tcBorders>
              <w:top w:val="nil"/>
              <w:left w:val="nil"/>
              <w:bottom w:val="nil"/>
              <w:right w:val="nil"/>
            </w:tcBorders>
            <w:shd w:val="clear" w:color="auto" w:fill="auto"/>
            <w:noWrap/>
            <w:vAlign w:val="center"/>
            <w:hideMark/>
          </w:tcPr>
          <w:p w14:paraId="718212D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60,0</w:t>
            </w:r>
          </w:p>
        </w:tc>
        <w:tc>
          <w:tcPr>
            <w:tcW w:w="706" w:type="pct"/>
            <w:tcBorders>
              <w:top w:val="nil"/>
              <w:left w:val="nil"/>
              <w:bottom w:val="nil"/>
              <w:right w:val="nil"/>
            </w:tcBorders>
            <w:shd w:val="clear" w:color="auto" w:fill="auto"/>
            <w:noWrap/>
            <w:vAlign w:val="center"/>
            <w:hideMark/>
          </w:tcPr>
          <w:p w14:paraId="26198372"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35,9</w:t>
            </w:r>
          </w:p>
        </w:tc>
        <w:tc>
          <w:tcPr>
            <w:tcW w:w="711" w:type="pct"/>
            <w:tcBorders>
              <w:top w:val="nil"/>
              <w:left w:val="nil"/>
              <w:bottom w:val="nil"/>
              <w:right w:val="nil"/>
            </w:tcBorders>
            <w:shd w:val="clear" w:color="auto" w:fill="auto"/>
            <w:noWrap/>
            <w:vAlign w:val="center"/>
            <w:hideMark/>
          </w:tcPr>
          <w:p w14:paraId="3BD46EE0"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25,5</w:t>
            </w:r>
          </w:p>
        </w:tc>
        <w:tc>
          <w:tcPr>
            <w:tcW w:w="671" w:type="pct"/>
            <w:vMerge w:val="restart"/>
            <w:tcBorders>
              <w:top w:val="nil"/>
              <w:left w:val="nil"/>
              <w:bottom w:val="single" w:sz="4" w:space="0" w:color="000000"/>
              <w:right w:val="nil"/>
            </w:tcBorders>
            <w:shd w:val="clear" w:color="auto" w:fill="auto"/>
            <w:noWrap/>
            <w:vAlign w:val="center"/>
            <w:hideMark/>
          </w:tcPr>
          <w:p w14:paraId="5FAE65A2"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6,9</w:t>
            </w:r>
          </w:p>
        </w:tc>
        <w:tc>
          <w:tcPr>
            <w:tcW w:w="758" w:type="pct"/>
            <w:vMerge w:val="restart"/>
            <w:tcBorders>
              <w:top w:val="nil"/>
              <w:left w:val="nil"/>
              <w:bottom w:val="single" w:sz="4" w:space="0" w:color="000000"/>
              <w:right w:val="nil"/>
            </w:tcBorders>
            <w:shd w:val="clear" w:color="auto" w:fill="auto"/>
            <w:noWrap/>
            <w:vAlign w:val="center"/>
            <w:hideMark/>
          </w:tcPr>
          <w:p w14:paraId="407DE50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4,7</w:t>
            </w:r>
          </w:p>
        </w:tc>
      </w:tr>
      <w:tr w:rsidR="00637A2E" w:rsidRPr="00637A2E" w14:paraId="48210305" w14:textId="77777777" w:rsidTr="00EC1A32">
        <w:trPr>
          <w:trHeight w:val="300"/>
        </w:trPr>
        <w:tc>
          <w:tcPr>
            <w:tcW w:w="534" w:type="pct"/>
            <w:vMerge/>
            <w:tcBorders>
              <w:top w:val="nil"/>
              <w:left w:val="nil"/>
              <w:bottom w:val="single" w:sz="4" w:space="0" w:color="000000"/>
              <w:right w:val="nil"/>
            </w:tcBorders>
            <w:vAlign w:val="center"/>
            <w:hideMark/>
          </w:tcPr>
          <w:p w14:paraId="677395A3"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single" w:sz="4" w:space="0" w:color="auto"/>
              <w:right w:val="nil"/>
            </w:tcBorders>
            <w:shd w:val="clear" w:color="auto" w:fill="auto"/>
            <w:noWrap/>
            <w:vAlign w:val="center"/>
            <w:hideMark/>
          </w:tcPr>
          <w:p w14:paraId="5840705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single" w:sz="4" w:space="0" w:color="auto"/>
              <w:right w:val="nil"/>
            </w:tcBorders>
            <w:shd w:val="clear" w:color="auto" w:fill="auto"/>
            <w:noWrap/>
            <w:vAlign w:val="center"/>
            <w:hideMark/>
          </w:tcPr>
          <w:p w14:paraId="3B23C46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27,7</w:t>
            </w:r>
          </w:p>
        </w:tc>
        <w:tc>
          <w:tcPr>
            <w:tcW w:w="512" w:type="pct"/>
            <w:tcBorders>
              <w:top w:val="nil"/>
              <w:left w:val="nil"/>
              <w:bottom w:val="single" w:sz="4" w:space="0" w:color="auto"/>
              <w:right w:val="nil"/>
            </w:tcBorders>
            <w:shd w:val="clear" w:color="auto" w:fill="auto"/>
            <w:noWrap/>
            <w:vAlign w:val="center"/>
            <w:hideMark/>
          </w:tcPr>
          <w:p w14:paraId="66327FB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56,7</w:t>
            </w:r>
          </w:p>
        </w:tc>
        <w:tc>
          <w:tcPr>
            <w:tcW w:w="706" w:type="pct"/>
            <w:tcBorders>
              <w:top w:val="nil"/>
              <w:left w:val="nil"/>
              <w:bottom w:val="single" w:sz="4" w:space="0" w:color="auto"/>
              <w:right w:val="nil"/>
            </w:tcBorders>
            <w:shd w:val="clear" w:color="auto" w:fill="auto"/>
            <w:noWrap/>
            <w:vAlign w:val="center"/>
            <w:hideMark/>
          </w:tcPr>
          <w:p w14:paraId="3A5AFA62"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29,0</w:t>
            </w:r>
          </w:p>
        </w:tc>
        <w:tc>
          <w:tcPr>
            <w:tcW w:w="711" w:type="pct"/>
            <w:tcBorders>
              <w:top w:val="nil"/>
              <w:left w:val="nil"/>
              <w:bottom w:val="single" w:sz="4" w:space="0" w:color="auto"/>
              <w:right w:val="nil"/>
            </w:tcBorders>
            <w:shd w:val="clear" w:color="auto" w:fill="auto"/>
            <w:noWrap/>
            <w:vAlign w:val="center"/>
            <w:hideMark/>
          </w:tcPr>
          <w:p w14:paraId="4F44461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30,2</w:t>
            </w:r>
          </w:p>
        </w:tc>
        <w:tc>
          <w:tcPr>
            <w:tcW w:w="671" w:type="pct"/>
            <w:vMerge/>
            <w:tcBorders>
              <w:top w:val="nil"/>
              <w:left w:val="nil"/>
              <w:bottom w:val="single" w:sz="4" w:space="0" w:color="000000"/>
              <w:right w:val="nil"/>
            </w:tcBorders>
            <w:vAlign w:val="center"/>
            <w:hideMark/>
          </w:tcPr>
          <w:p w14:paraId="09419496" w14:textId="77777777" w:rsidR="00637A2E" w:rsidRPr="00637A2E" w:rsidRDefault="00637A2E" w:rsidP="00637A2E">
            <w:pPr>
              <w:pStyle w:val="StyleBodyTextIndent210ptFirstline0cmRight012cm"/>
              <w:spacing w:before="60"/>
              <w:ind w:right="68"/>
              <w:rPr>
                <w:szCs w:val="22"/>
                <w:lang w:val="sl-SI"/>
              </w:rPr>
            </w:pPr>
          </w:p>
        </w:tc>
        <w:tc>
          <w:tcPr>
            <w:tcW w:w="758" w:type="pct"/>
            <w:vMerge/>
            <w:tcBorders>
              <w:top w:val="nil"/>
              <w:left w:val="nil"/>
              <w:bottom w:val="single" w:sz="4" w:space="0" w:color="000000"/>
              <w:right w:val="nil"/>
            </w:tcBorders>
            <w:vAlign w:val="center"/>
            <w:hideMark/>
          </w:tcPr>
          <w:p w14:paraId="33EDE2C2" w14:textId="77777777" w:rsidR="00637A2E" w:rsidRPr="00637A2E" w:rsidRDefault="00637A2E" w:rsidP="00637A2E">
            <w:pPr>
              <w:pStyle w:val="StyleBodyTextIndent210ptFirstline0cmRight012cm"/>
              <w:spacing w:before="60"/>
              <w:ind w:right="68"/>
              <w:rPr>
                <w:szCs w:val="22"/>
                <w:lang w:val="sl-SI"/>
              </w:rPr>
            </w:pPr>
          </w:p>
        </w:tc>
      </w:tr>
    </w:tbl>
    <w:p w14:paraId="357DA8CA" w14:textId="77777777" w:rsidR="00637A2E" w:rsidRPr="00637A2E" w:rsidRDefault="00637A2E" w:rsidP="00EC1A32">
      <w:pPr>
        <w:pStyle w:val="StyleBodyTextIndent210ptFirstline0cmRight012cm"/>
        <w:spacing w:before="60" w:after="120"/>
        <w:ind w:right="68"/>
        <w:rPr>
          <w:i/>
          <w:szCs w:val="22"/>
          <w:lang w:val="sl-SI"/>
        </w:rPr>
      </w:pPr>
      <w:r w:rsidRPr="00EC1A32">
        <w:rPr>
          <w:i/>
          <w:sz w:val="20"/>
          <w:lang w:val="sl-SI"/>
        </w:rPr>
        <w:t>Vir: APG 2000–2012, Eurostat, mnogi drugi viri</w:t>
      </w:r>
      <w:r w:rsidRPr="00637A2E">
        <w:rPr>
          <w:i/>
          <w:szCs w:val="22"/>
          <w:lang w:val="sl-SI"/>
        </w:rPr>
        <w:t xml:space="preserve">. </w:t>
      </w:r>
    </w:p>
    <w:p w14:paraId="6421A1EC" w14:textId="77777777" w:rsidR="00EC1A32" w:rsidRDefault="00EC1A32" w:rsidP="00637A2E">
      <w:pPr>
        <w:pStyle w:val="StyleBodyTextIndent210ptFirstline0cmRight012cm"/>
        <w:spacing w:before="60"/>
        <w:ind w:right="68"/>
        <w:rPr>
          <w:szCs w:val="22"/>
          <w:lang w:val="sl-SI"/>
        </w:rPr>
        <w:sectPr w:rsidR="00EC1A32" w:rsidSect="00EC1A32">
          <w:type w:val="continuous"/>
          <w:pgSz w:w="11913" w:h="16834"/>
          <w:pgMar w:top="1418" w:right="851" w:bottom="1985" w:left="851" w:header="708" w:footer="708" w:gutter="0"/>
          <w:paperSrc w:first="15" w:other="15"/>
          <w:cols w:space="436"/>
        </w:sectPr>
      </w:pPr>
    </w:p>
    <w:p w14:paraId="7B66DA42" w14:textId="59303388" w:rsidR="00637A2E" w:rsidRPr="00637A2E" w:rsidRDefault="00637A2E" w:rsidP="00637A2E">
      <w:pPr>
        <w:pStyle w:val="StyleBodyTextIndent210ptFirstline0cmRight012cm"/>
        <w:spacing w:before="60"/>
        <w:ind w:right="68"/>
        <w:rPr>
          <w:szCs w:val="22"/>
          <w:lang w:val="sl-SI"/>
        </w:rPr>
      </w:pPr>
      <w:r w:rsidRPr="00637A2E">
        <w:rPr>
          <w:szCs w:val="22"/>
          <w:lang w:val="sl-SI"/>
        </w:rPr>
        <w:lastRenderedPageBreak/>
        <w:t xml:space="preserve">Iz Tabele 1 je razvidno tudi, da se je v obdobju pred krizo, med letoma 2000 in 2008, obdobje presežka življenjskega cikla podaljšalo za oba spola, vendar je bilo podaljšanje bolj očitno za ženske kakor za moške. Kasneje je ekonomska kriza </w:t>
      </w:r>
      <w:r w:rsidRPr="00171C15">
        <w:rPr>
          <w:szCs w:val="22"/>
          <w:lang w:val="sl-SI"/>
        </w:rPr>
        <w:t xml:space="preserve">vplivala na skrajševanje obdobja presežka življenjskega cikla za oba spola. Kot rezultat visoke stopnje brezposelnosti v </w:t>
      </w:r>
      <w:r w:rsidR="00022B52" w:rsidRPr="00171C15">
        <w:rPr>
          <w:szCs w:val="22"/>
          <w:lang w:val="sl-SI"/>
        </w:rPr>
        <w:t>panogah</w:t>
      </w:r>
      <w:r w:rsidRPr="00171C15">
        <w:rPr>
          <w:szCs w:val="22"/>
          <w:lang w:val="sl-SI"/>
        </w:rPr>
        <w:t xml:space="preserve">, ki pretežno zaposlujejo moško delovno silo, se je na začetku krize presežek življenjskega cikla moških skrajšal bolj, kakor se je skrajšal presežek življenjskega cikla žensk. V razmahu ekonomske krize, ko se je presežek življenjskega cikla moških začel </w:t>
      </w:r>
      <w:r w:rsidR="00022B52" w:rsidRPr="00171C15">
        <w:rPr>
          <w:szCs w:val="22"/>
          <w:lang w:val="sl-SI"/>
        </w:rPr>
        <w:t>ponovno</w:t>
      </w:r>
      <w:r w:rsidRPr="00171C15">
        <w:rPr>
          <w:szCs w:val="22"/>
          <w:lang w:val="sl-SI"/>
        </w:rPr>
        <w:t xml:space="preserve"> podaljševati, se je presežek življenjskega cikla žensk </w:t>
      </w:r>
      <w:r w:rsidR="00022B52" w:rsidRPr="00171C15">
        <w:rPr>
          <w:szCs w:val="22"/>
          <w:lang w:val="sl-SI"/>
        </w:rPr>
        <w:t xml:space="preserve">še </w:t>
      </w:r>
      <w:r w:rsidRPr="00171C15">
        <w:rPr>
          <w:szCs w:val="22"/>
          <w:lang w:val="sl-SI"/>
        </w:rPr>
        <w:t>nadalje skrajševal. To lahko pojasnimo z varčevalnimi ukrepi javnega sektorja, v katerem je zaposlen</w:t>
      </w:r>
      <w:r w:rsidRPr="00637A2E">
        <w:rPr>
          <w:szCs w:val="22"/>
          <w:lang w:val="sl-SI"/>
        </w:rPr>
        <w:t xml:space="preserve"> višji odstotek žensk kakor moških. Ne glede na to so se razlike med spoloma v dolžini presežka življenjskega cikla zmanjšale tudi v času ekonomske krize, med letoma 2008 in 2012.</w:t>
      </w:r>
    </w:p>
    <w:p w14:paraId="33D00998" w14:textId="21128E02" w:rsidR="00637A2E" w:rsidRPr="00637A2E" w:rsidRDefault="00637A2E" w:rsidP="00637A2E">
      <w:pPr>
        <w:pStyle w:val="StyleBodyTextIndent210ptFirstline0cmRight012cm"/>
        <w:spacing w:before="60"/>
        <w:ind w:right="68"/>
        <w:rPr>
          <w:szCs w:val="22"/>
          <w:lang w:val="sl-SI"/>
        </w:rPr>
      </w:pPr>
      <w:r w:rsidRPr="00171C15">
        <w:rPr>
          <w:szCs w:val="22"/>
          <w:lang w:val="sl-SI"/>
        </w:rPr>
        <w:t xml:space="preserve">Ekonomska kriza je prav tako vplivala na razliko v </w:t>
      </w:r>
      <w:r w:rsidR="00022B52" w:rsidRPr="00171C15">
        <w:rPr>
          <w:szCs w:val="22"/>
          <w:lang w:val="sl-SI"/>
        </w:rPr>
        <w:t>obsegu</w:t>
      </w:r>
      <w:r w:rsidRPr="00171C15">
        <w:rPr>
          <w:szCs w:val="22"/>
          <w:lang w:val="sl-SI"/>
        </w:rPr>
        <w:t xml:space="preserve"> ekonomske odvisnosti obeh spolov. Medtem ko se je v začetku ekonomske krize razlika v </w:t>
      </w:r>
      <w:r w:rsidR="00022B52" w:rsidRPr="00171C15">
        <w:rPr>
          <w:szCs w:val="22"/>
          <w:lang w:val="sl-SI"/>
        </w:rPr>
        <w:t>obsegu</w:t>
      </w:r>
      <w:r w:rsidRPr="00637A2E">
        <w:rPr>
          <w:szCs w:val="22"/>
          <w:lang w:val="sl-SI"/>
        </w:rPr>
        <w:t xml:space="preserve"> </w:t>
      </w:r>
      <w:r w:rsidRPr="00171C15">
        <w:rPr>
          <w:szCs w:val="22"/>
          <w:lang w:val="sl-SI"/>
        </w:rPr>
        <w:lastRenderedPageBreak/>
        <w:t xml:space="preserve">ekonomske odvisnosti </w:t>
      </w:r>
      <w:r w:rsidR="00022B52" w:rsidRPr="00171C15">
        <w:rPr>
          <w:szCs w:val="22"/>
          <w:lang w:val="sl-SI"/>
        </w:rPr>
        <w:t xml:space="preserve">med spoloma </w:t>
      </w:r>
      <w:r w:rsidRPr="00171C15">
        <w:rPr>
          <w:szCs w:val="22"/>
          <w:lang w:val="sl-SI"/>
        </w:rPr>
        <w:t>povečala, se je v razmahu krize začela zmanjševati. Kljub začetnemu povečanju razlik</w:t>
      </w:r>
      <w:r w:rsidR="00022B52" w:rsidRPr="00171C15">
        <w:rPr>
          <w:szCs w:val="22"/>
          <w:lang w:val="sl-SI"/>
        </w:rPr>
        <w:t>e</w:t>
      </w:r>
      <w:r w:rsidRPr="00171C15">
        <w:rPr>
          <w:szCs w:val="22"/>
          <w:lang w:val="sl-SI"/>
        </w:rPr>
        <w:t xml:space="preserve"> v </w:t>
      </w:r>
      <w:r w:rsidR="00022B52" w:rsidRPr="00171C15">
        <w:rPr>
          <w:szCs w:val="22"/>
          <w:lang w:val="sl-SI"/>
        </w:rPr>
        <w:t>obsegu</w:t>
      </w:r>
      <w:r w:rsidRPr="00171C15">
        <w:rPr>
          <w:szCs w:val="22"/>
          <w:lang w:val="sl-SI"/>
        </w:rPr>
        <w:t xml:space="preserve"> ekonomske odvisnosti obeh spolov, se je </w:t>
      </w:r>
      <w:r w:rsidR="00022B52" w:rsidRPr="00171C15">
        <w:rPr>
          <w:szCs w:val="22"/>
          <w:lang w:val="sl-SI"/>
        </w:rPr>
        <w:t xml:space="preserve">le-ta </w:t>
      </w:r>
      <w:r w:rsidRPr="00171C15">
        <w:rPr>
          <w:szCs w:val="22"/>
          <w:lang w:val="sl-SI"/>
        </w:rPr>
        <w:t>v celotnem obdobju krize zmanjšala</w:t>
      </w:r>
      <w:r w:rsidR="00022B52" w:rsidRPr="00171C15">
        <w:rPr>
          <w:szCs w:val="22"/>
          <w:lang w:val="sl-SI"/>
        </w:rPr>
        <w:t>.</w:t>
      </w:r>
      <w:r w:rsidRPr="00171C15">
        <w:rPr>
          <w:szCs w:val="22"/>
          <w:lang w:val="sl-SI"/>
        </w:rPr>
        <w:t xml:space="preserve"> Če povzamemo, navkljub temu da je ekonomska kriza</w:t>
      </w:r>
      <w:r w:rsidRPr="00637A2E">
        <w:rPr>
          <w:szCs w:val="22"/>
          <w:lang w:val="sl-SI"/>
        </w:rPr>
        <w:t xml:space="preserve"> prekinila približevanje ekonomske (ne)odvisnosti žensk k ekonomski (ne)odvisnosti moških, se je razlika v ekonomski (ne)odvisnosti obeh spolov zmanjšala tudi v celotnem preučevanem obdobju krize. </w:t>
      </w:r>
    </w:p>
    <w:p w14:paraId="30068765" w14:textId="2BF6B8A0" w:rsidR="00637A2E" w:rsidRPr="00F06E71" w:rsidRDefault="00637A2E" w:rsidP="003003A4">
      <w:pPr>
        <w:pStyle w:val="StyleBodyTextIndent210ptFirstline0cmRight012cm"/>
        <w:spacing w:before="60"/>
        <w:ind w:right="68" w:firstLine="0"/>
        <w:rPr>
          <w:b/>
          <w:szCs w:val="22"/>
          <w:lang w:val="sl-SI"/>
        </w:rPr>
      </w:pPr>
    </w:p>
    <w:p w14:paraId="26AB7709" w14:textId="77777777" w:rsidR="00F06E71" w:rsidRPr="00F06E71" w:rsidRDefault="00F06E71" w:rsidP="009831A7">
      <w:pPr>
        <w:pStyle w:val="StyleBodyTextIndent210ptFirstline0cmRight012cm"/>
        <w:keepNext/>
        <w:spacing w:before="60"/>
        <w:ind w:right="68" w:firstLine="0"/>
        <w:rPr>
          <w:szCs w:val="22"/>
          <w:lang w:val="sl-SI"/>
        </w:rPr>
      </w:pPr>
      <w:r w:rsidRPr="00F06E71">
        <w:rPr>
          <w:b/>
          <w:szCs w:val="22"/>
          <w:lang w:val="sl-SI"/>
        </w:rPr>
        <w:t>4 SKLEP</w:t>
      </w:r>
    </w:p>
    <w:p w14:paraId="004E1530" w14:textId="77777777" w:rsidR="00022B52" w:rsidRPr="00171C15" w:rsidRDefault="00EE765C" w:rsidP="00667D2F">
      <w:pPr>
        <w:pStyle w:val="StyleBodyTextIndent210ptFirstline0cmRight012cm"/>
        <w:spacing w:before="60"/>
        <w:ind w:right="68"/>
        <w:rPr>
          <w:lang w:val="sl-SI"/>
        </w:rPr>
      </w:pPr>
      <w:r w:rsidRPr="00667D2F">
        <w:rPr>
          <w:lang w:val="sl-SI"/>
        </w:rPr>
        <w:t>V pričujočem članku predstavimo rezultate retrospektivne analize NTA</w:t>
      </w:r>
      <w:r w:rsidR="00667D2F" w:rsidRPr="00667D2F">
        <w:rPr>
          <w:lang w:val="sl-SI"/>
        </w:rPr>
        <w:t xml:space="preserve"> </w:t>
      </w:r>
      <w:r w:rsidR="00667D2F" w:rsidRPr="00171C15">
        <w:rPr>
          <w:lang w:val="sl-SI"/>
        </w:rPr>
        <w:t>po spolu</w:t>
      </w:r>
      <w:r w:rsidR="00022B52" w:rsidRPr="00171C15">
        <w:rPr>
          <w:lang w:val="sl-SI"/>
        </w:rPr>
        <w:t>.</w:t>
      </w:r>
      <w:r w:rsidRPr="00171C15">
        <w:rPr>
          <w:lang w:val="sl-SI"/>
        </w:rPr>
        <w:t xml:space="preserve"> </w:t>
      </w:r>
      <w:r w:rsidR="00022B52" w:rsidRPr="00171C15">
        <w:rPr>
          <w:lang w:val="sl-SI"/>
        </w:rPr>
        <w:t>NTA</w:t>
      </w:r>
      <w:r w:rsidRPr="00171C15">
        <w:rPr>
          <w:lang w:val="sl-SI"/>
        </w:rPr>
        <w:t xml:space="preserve"> nam s pomočjo koncepta primanjkljaja oz. presež</w:t>
      </w:r>
      <w:r w:rsidR="00022B52" w:rsidRPr="00171C15">
        <w:rPr>
          <w:lang w:val="sl-SI"/>
        </w:rPr>
        <w:t>ka življenjskega cikla omogočajo</w:t>
      </w:r>
      <w:r w:rsidRPr="00171C15">
        <w:rPr>
          <w:lang w:val="sl-SI"/>
        </w:rPr>
        <w:t xml:space="preserve"> analizo posameznikove </w:t>
      </w:r>
      <w:r w:rsidR="00E21F08" w:rsidRPr="00171C15">
        <w:rPr>
          <w:lang w:val="sl-SI"/>
        </w:rPr>
        <w:t xml:space="preserve">ekonomske </w:t>
      </w:r>
      <w:r w:rsidRPr="00171C15">
        <w:rPr>
          <w:lang w:val="sl-SI"/>
        </w:rPr>
        <w:t>odvisnosti oz. neodvisnosti skozi življenjski cikel</w:t>
      </w:r>
      <w:r w:rsidR="00667D2F" w:rsidRPr="00171C15">
        <w:rPr>
          <w:lang w:val="sl-SI"/>
        </w:rPr>
        <w:t xml:space="preserve">. </w:t>
      </w:r>
      <w:r w:rsidRPr="00171C15">
        <w:rPr>
          <w:lang w:val="sl-SI"/>
        </w:rPr>
        <w:t xml:space="preserve"> </w:t>
      </w:r>
    </w:p>
    <w:p w14:paraId="7D441A42" w14:textId="5C142864" w:rsidR="009B1A41" w:rsidRPr="00667D2F" w:rsidRDefault="00022B52" w:rsidP="00667D2F">
      <w:pPr>
        <w:pStyle w:val="StyleBodyTextIndent210ptFirstline0cmRight012cm"/>
        <w:spacing w:before="60"/>
        <w:ind w:right="68"/>
        <w:rPr>
          <w:b/>
          <w:lang w:val="sl-SI"/>
        </w:rPr>
      </w:pPr>
      <w:r w:rsidRPr="00171C15">
        <w:rPr>
          <w:lang w:val="sl-SI"/>
        </w:rPr>
        <w:t>Iz naših rezultatov izhaja</w:t>
      </w:r>
      <w:r w:rsidR="00667D2F" w:rsidRPr="00171C15">
        <w:rPr>
          <w:lang w:val="sl-SI"/>
        </w:rPr>
        <w:t>, da je razlika med spoloma v delovnem dohodku prisotna pri vseh</w:t>
      </w:r>
      <w:r w:rsidR="00667D2F" w:rsidRPr="00667D2F">
        <w:rPr>
          <w:lang w:val="sl-SI"/>
        </w:rPr>
        <w:t xml:space="preserve"> starostih, ko ženske zaslužijo manj kot moški, medtem ko je razlika v potrošnji očitna predvsem v času materinstva, ko </w:t>
      </w:r>
      <w:r w:rsidR="00667D2F" w:rsidRPr="00667D2F">
        <w:rPr>
          <w:lang w:val="sl-SI"/>
        </w:rPr>
        <w:lastRenderedPageBreak/>
        <w:t xml:space="preserve">ženske porabijo več kot moški. Ženske so tako ekonomsko odvisne daljše obdobje življenjskega cikla. V letu 2012 so bile </w:t>
      </w:r>
      <w:r w:rsidR="00667D2F" w:rsidRPr="00171C15">
        <w:rPr>
          <w:lang w:val="sl-SI"/>
        </w:rPr>
        <w:t xml:space="preserve">ženske sposobne financirati svojo potrošnjo </w:t>
      </w:r>
      <w:r w:rsidR="00441590">
        <w:rPr>
          <w:lang w:val="sl-SI"/>
        </w:rPr>
        <w:t>v starostnem razponu</w:t>
      </w:r>
      <w:r w:rsidR="00667D2F" w:rsidRPr="00171C15">
        <w:rPr>
          <w:lang w:val="sl-SI"/>
        </w:rPr>
        <w:t xml:space="preserve"> 29,0 let, moški </w:t>
      </w:r>
      <w:r w:rsidRPr="00171C15">
        <w:rPr>
          <w:lang w:val="sl-SI"/>
        </w:rPr>
        <w:t xml:space="preserve">pa </w:t>
      </w:r>
      <w:r w:rsidR="00667D2F" w:rsidRPr="00171C15">
        <w:rPr>
          <w:lang w:val="sl-SI"/>
        </w:rPr>
        <w:t xml:space="preserve">35,9 let. Vendar pa se v času razlika v dolžini ekonomske neodvisnosti skrajšuje, </w:t>
      </w:r>
      <w:r w:rsidRPr="00171C15">
        <w:rPr>
          <w:lang w:val="sl-SI"/>
        </w:rPr>
        <w:t>s</w:t>
      </w:r>
      <w:r w:rsidR="00667D2F" w:rsidRPr="00171C15">
        <w:rPr>
          <w:lang w:val="sl-SI"/>
        </w:rPr>
        <w:t xml:space="preserve"> 7,9 let v letu 2000 na 6,9 let v letu 2012. Prav tako se </w:t>
      </w:r>
      <w:r w:rsidR="00441590">
        <w:rPr>
          <w:lang w:val="sl-SI"/>
        </w:rPr>
        <w:t>v času</w:t>
      </w:r>
      <w:r w:rsidR="00667D2F" w:rsidRPr="00171C15">
        <w:rPr>
          <w:lang w:val="sl-SI"/>
        </w:rPr>
        <w:t xml:space="preserve"> zmanjšuje tudi razlika med spoloma v </w:t>
      </w:r>
      <w:r w:rsidRPr="00171C15">
        <w:rPr>
          <w:lang w:val="sl-SI"/>
        </w:rPr>
        <w:t>obsegu</w:t>
      </w:r>
      <w:r w:rsidR="00667D2F" w:rsidRPr="00171C15">
        <w:rPr>
          <w:lang w:val="sl-SI"/>
        </w:rPr>
        <w:t xml:space="preserve"> ekonomske odvisnosti. Kljub temu da je ekonomska kriza prekinila približevanje obdobja ekonomske neodvisnosti in </w:t>
      </w:r>
      <w:r w:rsidRPr="00171C15">
        <w:rPr>
          <w:lang w:val="sl-SI"/>
        </w:rPr>
        <w:t xml:space="preserve">obsega </w:t>
      </w:r>
      <w:r w:rsidR="00667D2F" w:rsidRPr="00171C15">
        <w:rPr>
          <w:lang w:val="sl-SI"/>
        </w:rPr>
        <w:t>ekonomske</w:t>
      </w:r>
      <w:r w:rsidR="00171C15">
        <w:rPr>
          <w:lang w:val="sl-SI"/>
        </w:rPr>
        <w:t xml:space="preserve"> odvisnosti žensk</w:t>
      </w:r>
      <w:r w:rsidR="00667D2F" w:rsidRPr="00667D2F">
        <w:rPr>
          <w:lang w:val="sl-SI"/>
        </w:rPr>
        <w:t xml:space="preserve"> vrednostim za moške, so se razlike med spoloma tudi v celotnem obdobju krize zmanjšale.</w:t>
      </w:r>
    </w:p>
    <w:p w14:paraId="38B050B6" w14:textId="77777777" w:rsidR="009B1A41" w:rsidRPr="00824F71" w:rsidRDefault="009B1A41" w:rsidP="00824F71">
      <w:pPr>
        <w:pStyle w:val="StyleBodyTextIndent210ptFirstline0cmRight012cm"/>
        <w:spacing w:before="60"/>
        <w:rPr>
          <w:lang w:val="sl-SI"/>
        </w:rPr>
      </w:pPr>
    </w:p>
    <w:p w14:paraId="5F151DF9" w14:textId="77777777" w:rsidR="009B1A41" w:rsidRPr="0061124A" w:rsidRDefault="009B1A41" w:rsidP="0061124A">
      <w:pPr>
        <w:pStyle w:val="BodyTextIndent2"/>
        <w:keepNext/>
        <w:keepLines/>
        <w:spacing w:after="120"/>
        <w:ind w:right="68" w:firstLine="0"/>
        <w:rPr>
          <w:b/>
          <w:sz w:val="20"/>
          <w:lang w:val="sl-SI"/>
        </w:rPr>
      </w:pPr>
      <w:r w:rsidRPr="00824F71">
        <w:rPr>
          <w:b/>
          <w:sz w:val="20"/>
          <w:lang w:val="sl-SI"/>
        </w:rPr>
        <w:t>LITERATURA IN VIRI</w:t>
      </w:r>
    </w:p>
    <w:p w14:paraId="052AA24A" w14:textId="5743B292" w:rsidR="00FC06E8" w:rsidRDefault="001D07A1" w:rsidP="001D07A1">
      <w:pPr>
        <w:pStyle w:val="ListParagraph"/>
        <w:numPr>
          <w:ilvl w:val="0"/>
          <w:numId w:val="27"/>
        </w:numPr>
        <w:ind w:left="357" w:hanging="357"/>
        <w:rPr>
          <w:noProof/>
          <w:sz w:val="20"/>
        </w:rPr>
      </w:pPr>
      <w:r w:rsidRPr="001D07A1">
        <w:rPr>
          <w:noProof/>
          <w:sz w:val="20"/>
        </w:rPr>
        <w:t>Donehower, G. (2014). Incorporating gender and time use into NTA: National Time Transfer Accounts methodology (version 4, May 2014). Internal materials of the NTA project.</w:t>
      </w:r>
    </w:p>
    <w:p w14:paraId="2A7262B9" w14:textId="7603A700" w:rsidR="00533B87" w:rsidRDefault="00FC06E8" w:rsidP="001C5F8F">
      <w:pPr>
        <w:pStyle w:val="ListParagraph"/>
        <w:numPr>
          <w:ilvl w:val="0"/>
          <w:numId w:val="27"/>
        </w:numPr>
        <w:ind w:left="357" w:hanging="357"/>
        <w:rPr>
          <w:noProof/>
          <w:sz w:val="20"/>
        </w:rPr>
      </w:pPr>
      <w:r>
        <w:rPr>
          <w:noProof/>
          <w:sz w:val="20"/>
        </w:rPr>
        <w:t>Lee, R., &amp; Mason, A. (2011</w:t>
      </w:r>
      <w:r w:rsidR="001C5F8F" w:rsidRPr="001C5F8F">
        <w:rPr>
          <w:noProof/>
          <w:sz w:val="20"/>
        </w:rPr>
        <w:t>). Population aging and the generational economy: A global perspective. Cheltenham, UK; Northampton, MA: Edward Elgar.</w:t>
      </w:r>
    </w:p>
    <w:p w14:paraId="0142202A" w14:textId="05902BC4" w:rsidR="001C5F8F" w:rsidRDefault="00244CB6" w:rsidP="00244CB6">
      <w:pPr>
        <w:pStyle w:val="ListParagraph"/>
        <w:numPr>
          <w:ilvl w:val="0"/>
          <w:numId w:val="27"/>
        </w:numPr>
        <w:ind w:left="357" w:hanging="357"/>
        <w:rPr>
          <w:noProof/>
          <w:sz w:val="20"/>
        </w:rPr>
      </w:pPr>
      <w:r>
        <w:rPr>
          <w:noProof/>
          <w:sz w:val="20"/>
        </w:rPr>
        <w:t>Statistični urad Republike Slovenije</w:t>
      </w:r>
      <w:r w:rsidRPr="00244CB6">
        <w:rPr>
          <w:noProof/>
          <w:sz w:val="20"/>
        </w:rPr>
        <w:t xml:space="preserve">. (2013). </w:t>
      </w:r>
      <w:r>
        <w:rPr>
          <w:noProof/>
          <w:sz w:val="20"/>
        </w:rPr>
        <w:t>Anketa o porabi gospodinjstev za leta</w:t>
      </w:r>
      <w:r w:rsidRPr="00244CB6">
        <w:rPr>
          <w:noProof/>
          <w:sz w:val="20"/>
        </w:rPr>
        <w:t xml:space="preserve"> 1993, 1998, 2000, 2003, 2005, 2008, 2010, and 2012 (</w:t>
      </w:r>
      <w:r>
        <w:rPr>
          <w:noProof/>
          <w:sz w:val="20"/>
        </w:rPr>
        <w:t>interni podatki</w:t>
      </w:r>
      <w:r w:rsidRPr="00244CB6">
        <w:rPr>
          <w:noProof/>
          <w:sz w:val="20"/>
        </w:rPr>
        <w:t xml:space="preserve">). Ljubljana: </w:t>
      </w:r>
      <w:r w:rsidRPr="00244CB6">
        <w:rPr>
          <w:noProof/>
          <w:sz w:val="20"/>
          <w:lang w:val="en-US"/>
        </w:rPr>
        <w:t>Statistični urad Republike Slovenije</w:t>
      </w:r>
      <w:r w:rsidRPr="00244CB6">
        <w:rPr>
          <w:noProof/>
          <w:sz w:val="20"/>
        </w:rPr>
        <w:t>.</w:t>
      </w:r>
    </w:p>
    <w:p w14:paraId="06EBBBCC" w14:textId="22D03944" w:rsidR="009A7D13" w:rsidRDefault="009A7D13" w:rsidP="009A7D13">
      <w:pPr>
        <w:pStyle w:val="ListParagraph"/>
        <w:numPr>
          <w:ilvl w:val="0"/>
          <w:numId w:val="27"/>
        </w:numPr>
        <w:ind w:left="357" w:hanging="357"/>
        <w:rPr>
          <w:noProof/>
          <w:sz w:val="20"/>
        </w:rPr>
      </w:pPr>
      <w:r w:rsidRPr="009A7D13">
        <w:rPr>
          <w:noProof/>
          <w:sz w:val="20"/>
        </w:rPr>
        <w:t>United Nations. (2013). National Transfer Accounts Manual: Measuring and Analysing the Generational Economy. New York: United Nations.</w:t>
      </w:r>
    </w:p>
    <w:p w14:paraId="0947A56D" w14:textId="77777777" w:rsidR="005E2C23" w:rsidRPr="00477DC1" w:rsidRDefault="005E2C23" w:rsidP="00477DC1">
      <w:pPr>
        <w:rPr>
          <w:noProof/>
          <w:sz w:val="20"/>
        </w:rPr>
      </w:pPr>
    </w:p>
    <w:p w14:paraId="1CA20251" w14:textId="77777777" w:rsidR="009B1A41" w:rsidRPr="00824F71" w:rsidRDefault="009B1A41" w:rsidP="00824F71">
      <w:pPr>
        <w:jc w:val="both"/>
        <w:rPr>
          <w:sz w:val="20"/>
          <w:lang w:val="sl-SI"/>
        </w:rPr>
      </w:pPr>
    </w:p>
    <w:p w14:paraId="0E3FAE5A" w14:textId="77777777" w:rsidR="00043C9B" w:rsidRDefault="00043C9B"/>
    <w:sectPr w:rsidR="00043C9B" w:rsidSect="00DD0F1B">
      <w:type w:val="continuous"/>
      <w:pgSz w:w="11913" w:h="16834"/>
      <w:pgMar w:top="1418" w:right="851" w:bottom="1985" w:left="851" w:header="708" w:footer="708" w:gutter="0"/>
      <w:paperSrc w:first="15" w:other="15"/>
      <w:cols w:num="2" w:space="436" w:equalWidth="0">
        <w:col w:w="4887" w:space="436"/>
        <w:col w:w="4888"/>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1F384" w16cex:dateUtc="2020-09-20T13:28:00Z"/>
  <w16cex:commentExtensible w16cex:durableId="2311F458" w16cex:dateUtc="2020-09-20T13:31:00Z"/>
  <w16cex:commentExtensible w16cex:durableId="2311F64A" w16cex:dateUtc="2020-09-20T13:39:00Z"/>
  <w16cex:commentExtensible w16cex:durableId="2311F728" w16cex:dateUtc="2020-09-20T13:43:00Z"/>
  <w16cex:commentExtensible w16cex:durableId="2311F770" w16cex:dateUtc="2020-09-20T13:44:00Z"/>
  <w16cex:commentExtensible w16cex:durableId="2311F78D" w16cex:dateUtc="2020-09-20T13:45:00Z"/>
  <w16cex:commentExtensible w16cex:durableId="2311F7E1" w16cex:dateUtc="2020-09-20T13:46:00Z"/>
  <w16cex:commentExtensible w16cex:durableId="2311F80F" w16cex:dateUtc="2020-09-20T13:47:00Z"/>
  <w16cex:commentExtensible w16cex:durableId="2311F87F" w16cex:dateUtc="2020-09-20T13:49:00Z"/>
  <w16cex:commentExtensible w16cex:durableId="2311F92D" w16cex:dateUtc="2020-09-20T13:52:00Z"/>
  <w16cex:commentExtensible w16cex:durableId="2311FA0D" w16cex:dateUtc="2020-09-20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990288" w16cid:durableId="2311F384"/>
  <w16cid:commentId w16cid:paraId="542F89D6" w16cid:durableId="2311F458"/>
  <w16cid:commentId w16cid:paraId="2677AEC2" w16cid:durableId="2311F64A"/>
  <w16cid:commentId w16cid:paraId="186AD95D" w16cid:durableId="2311F728"/>
  <w16cid:commentId w16cid:paraId="096D028F" w16cid:durableId="2311F770"/>
  <w16cid:commentId w16cid:paraId="79246313" w16cid:durableId="2311F78D"/>
  <w16cid:commentId w16cid:paraId="04EF980D" w16cid:durableId="2311F7E1"/>
  <w16cid:commentId w16cid:paraId="154DCF9B" w16cid:durableId="2311F80F"/>
  <w16cid:commentId w16cid:paraId="4684A2B8" w16cid:durableId="2311F87F"/>
  <w16cid:commentId w16cid:paraId="1A6D1B2D" w16cid:durableId="2311F92D"/>
  <w16cid:commentId w16cid:paraId="4BB105A9" w16cid:durableId="2311FA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472B3" w14:textId="77777777" w:rsidR="009E36E2" w:rsidRDefault="009E36E2">
      <w:r>
        <w:separator/>
      </w:r>
    </w:p>
  </w:endnote>
  <w:endnote w:type="continuationSeparator" w:id="0">
    <w:p w14:paraId="056AC171" w14:textId="77777777" w:rsidR="009E36E2" w:rsidRDefault="009E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52A3" w14:textId="77777777" w:rsidR="003E2A94" w:rsidRDefault="00BE0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31FAA" w14:textId="77777777" w:rsidR="003E2A94" w:rsidRDefault="009E36E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609295"/>
      <w:docPartObj>
        <w:docPartGallery w:val="Page Numbers (Bottom of Page)"/>
        <w:docPartUnique/>
      </w:docPartObj>
    </w:sdtPr>
    <w:sdtEndPr>
      <w:rPr>
        <w:noProof/>
      </w:rPr>
    </w:sdtEndPr>
    <w:sdtContent>
      <w:p w14:paraId="5F48EF8B" w14:textId="4030C9BB" w:rsidR="003E2A94" w:rsidRDefault="00BE037A">
        <w:pPr>
          <w:pStyle w:val="Footer"/>
          <w:jc w:val="center"/>
        </w:pPr>
        <w:r>
          <w:fldChar w:fldCharType="begin"/>
        </w:r>
        <w:r>
          <w:instrText xml:space="preserve"> PAGE   \* MERGEFORMAT </w:instrText>
        </w:r>
        <w:r>
          <w:fldChar w:fldCharType="separate"/>
        </w:r>
        <w:r w:rsidR="002B1927">
          <w:rPr>
            <w:noProof/>
          </w:rPr>
          <w:t>1</w:t>
        </w:r>
        <w:r>
          <w:rPr>
            <w:noProof/>
          </w:rPr>
          <w:fldChar w:fldCharType="end"/>
        </w:r>
      </w:p>
    </w:sdtContent>
  </w:sdt>
  <w:p w14:paraId="0C1A986B" w14:textId="77777777" w:rsidR="003E2A94" w:rsidRPr="002C6019" w:rsidRDefault="009E36E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288FD" w14:textId="77777777" w:rsidR="009E36E2" w:rsidRDefault="009E36E2">
      <w:r>
        <w:separator/>
      </w:r>
    </w:p>
  </w:footnote>
  <w:footnote w:type="continuationSeparator" w:id="0">
    <w:p w14:paraId="0FFD78C1" w14:textId="77777777" w:rsidR="009E36E2" w:rsidRDefault="009E36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59EC5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E46B82"/>
    <w:multiLevelType w:val="hybridMultilevel"/>
    <w:tmpl w:val="7D72FC74"/>
    <w:lvl w:ilvl="0" w:tplc="338A8BDE">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CDD21FE"/>
    <w:multiLevelType w:val="hybridMultilevel"/>
    <w:tmpl w:val="9F68F7B0"/>
    <w:lvl w:ilvl="0" w:tplc="338A8BDE">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85A5E18"/>
    <w:multiLevelType w:val="hybridMultilevel"/>
    <w:tmpl w:val="BF6282CE"/>
    <w:lvl w:ilvl="0" w:tplc="338A8BD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9475F67"/>
    <w:multiLevelType w:val="multilevel"/>
    <w:tmpl w:val="8488E95E"/>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E01BC1"/>
    <w:multiLevelType w:val="multilevel"/>
    <w:tmpl w:val="45CACE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CD7BC0"/>
    <w:multiLevelType w:val="hybridMultilevel"/>
    <w:tmpl w:val="817265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704F7C"/>
    <w:multiLevelType w:val="hybridMultilevel"/>
    <w:tmpl w:val="28384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D755D"/>
    <w:multiLevelType w:val="multilevel"/>
    <w:tmpl w:val="45CACE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20D67F5"/>
    <w:multiLevelType w:val="singleLevel"/>
    <w:tmpl w:val="014E6D32"/>
    <w:lvl w:ilvl="0">
      <w:start w:val="1"/>
      <w:numFmt w:val="decimal"/>
      <w:lvlText w:val="[%1]"/>
      <w:lvlJc w:val="left"/>
      <w:pPr>
        <w:tabs>
          <w:tab w:val="num" w:pos="360"/>
        </w:tabs>
        <w:ind w:left="360" w:hanging="360"/>
      </w:pPr>
    </w:lvl>
  </w:abstractNum>
  <w:abstractNum w:abstractNumId="11" w15:restartNumberingAfterBreak="0">
    <w:nsid w:val="3915199A"/>
    <w:multiLevelType w:val="hybridMultilevel"/>
    <w:tmpl w:val="3AB830EC"/>
    <w:lvl w:ilvl="0" w:tplc="595EC1A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82538D"/>
    <w:multiLevelType w:val="hybridMultilevel"/>
    <w:tmpl w:val="6F08242A"/>
    <w:lvl w:ilvl="0" w:tplc="74B4A36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37C1F6D"/>
    <w:multiLevelType w:val="multilevel"/>
    <w:tmpl w:val="341CA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1486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F21C08"/>
    <w:multiLevelType w:val="hybridMultilevel"/>
    <w:tmpl w:val="297CF2E2"/>
    <w:lvl w:ilvl="0" w:tplc="338A8BDE">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06841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D1206A"/>
    <w:multiLevelType w:val="hybridMultilevel"/>
    <w:tmpl w:val="83FE17F8"/>
    <w:lvl w:ilvl="0" w:tplc="0E58929A">
      <w:start w:val="10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Symbol"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Symbol"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04140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0"/>
  </w:num>
  <w:num w:numId="12">
    <w:abstractNumId w:val="14"/>
  </w:num>
  <w:num w:numId="13">
    <w:abstractNumId w:val="16"/>
  </w:num>
  <w:num w:numId="14">
    <w:abstractNumId w:val="1"/>
    <w:lvlOverride w:ilvl="0">
      <w:lvl w:ilvl="0">
        <w:start w:val="1"/>
        <w:numFmt w:val="bullet"/>
        <w:lvlText w:val=""/>
        <w:legacy w:legacy="1" w:legacySpace="0" w:legacyIndent="283"/>
        <w:lvlJc w:val="left"/>
        <w:rPr>
          <w:rFonts w:ascii="Symbol" w:hAnsi="Symbol" w:hint="default"/>
        </w:rPr>
      </w:lvl>
    </w:lvlOverride>
  </w:num>
  <w:num w:numId="15">
    <w:abstractNumId w:val="18"/>
  </w:num>
  <w:num w:numId="16">
    <w:abstractNumId w:val="2"/>
  </w:num>
  <w:num w:numId="17">
    <w:abstractNumId w:val="6"/>
  </w:num>
  <w:num w:numId="18">
    <w:abstractNumId w:val="9"/>
  </w:num>
  <w:num w:numId="19">
    <w:abstractNumId w:val="17"/>
  </w:num>
  <w:num w:numId="20">
    <w:abstractNumId w:val="4"/>
  </w:num>
  <w:num w:numId="21">
    <w:abstractNumId w:val="13"/>
  </w:num>
  <w:num w:numId="22">
    <w:abstractNumId w:val="15"/>
  </w:num>
  <w:num w:numId="23">
    <w:abstractNumId w:val="7"/>
  </w:num>
  <w:num w:numId="24">
    <w:abstractNumId w:val="3"/>
  </w:num>
  <w:num w:numId="25">
    <w:abstractNumId w:val="12"/>
  </w:num>
  <w:num w:numId="26">
    <w:abstractNumId w:val="11"/>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B1A41"/>
    <w:rsid w:val="00000AE4"/>
    <w:rsid w:val="00003D4F"/>
    <w:rsid w:val="00006653"/>
    <w:rsid w:val="00010B14"/>
    <w:rsid w:val="000179D9"/>
    <w:rsid w:val="00022B52"/>
    <w:rsid w:val="00024FDA"/>
    <w:rsid w:val="000256E7"/>
    <w:rsid w:val="000277EF"/>
    <w:rsid w:val="00032775"/>
    <w:rsid w:val="00037B99"/>
    <w:rsid w:val="00037E21"/>
    <w:rsid w:val="00041BB8"/>
    <w:rsid w:val="00043C9B"/>
    <w:rsid w:val="0004449B"/>
    <w:rsid w:val="00054C96"/>
    <w:rsid w:val="00063ABA"/>
    <w:rsid w:val="000668EB"/>
    <w:rsid w:val="000674B8"/>
    <w:rsid w:val="000737B5"/>
    <w:rsid w:val="00076301"/>
    <w:rsid w:val="000941E4"/>
    <w:rsid w:val="000A549D"/>
    <w:rsid w:val="000A6CB6"/>
    <w:rsid w:val="000B025C"/>
    <w:rsid w:val="000B5D8C"/>
    <w:rsid w:val="000C5773"/>
    <w:rsid w:val="000C75DA"/>
    <w:rsid w:val="000D02CC"/>
    <w:rsid w:val="000D0CE0"/>
    <w:rsid w:val="000D425D"/>
    <w:rsid w:val="000D5B62"/>
    <w:rsid w:val="000D64A2"/>
    <w:rsid w:val="000D7D94"/>
    <w:rsid w:val="000E273E"/>
    <w:rsid w:val="000E2C8B"/>
    <w:rsid w:val="000E5FC9"/>
    <w:rsid w:val="000F0609"/>
    <w:rsid w:val="000F34DB"/>
    <w:rsid w:val="00103FED"/>
    <w:rsid w:val="001071F5"/>
    <w:rsid w:val="00120239"/>
    <w:rsid w:val="00123C32"/>
    <w:rsid w:val="00124B68"/>
    <w:rsid w:val="00134411"/>
    <w:rsid w:val="001369EC"/>
    <w:rsid w:val="00136CAD"/>
    <w:rsid w:val="0013792A"/>
    <w:rsid w:val="0014759F"/>
    <w:rsid w:val="00150E29"/>
    <w:rsid w:val="00160625"/>
    <w:rsid w:val="001679C9"/>
    <w:rsid w:val="00171C15"/>
    <w:rsid w:val="00173908"/>
    <w:rsid w:val="0017740E"/>
    <w:rsid w:val="001800DF"/>
    <w:rsid w:val="001824B3"/>
    <w:rsid w:val="00182FF8"/>
    <w:rsid w:val="00184E3F"/>
    <w:rsid w:val="0018573D"/>
    <w:rsid w:val="00187B80"/>
    <w:rsid w:val="00190659"/>
    <w:rsid w:val="00194A3B"/>
    <w:rsid w:val="00194E62"/>
    <w:rsid w:val="001A1992"/>
    <w:rsid w:val="001B076F"/>
    <w:rsid w:val="001B1694"/>
    <w:rsid w:val="001B4AC6"/>
    <w:rsid w:val="001C5F8F"/>
    <w:rsid w:val="001D07A1"/>
    <w:rsid w:val="001D26CB"/>
    <w:rsid w:val="001D5CE4"/>
    <w:rsid w:val="001D7971"/>
    <w:rsid w:val="001E0832"/>
    <w:rsid w:val="001E0AB8"/>
    <w:rsid w:val="001E33AE"/>
    <w:rsid w:val="001F0B94"/>
    <w:rsid w:val="001F2131"/>
    <w:rsid w:val="001F3CEA"/>
    <w:rsid w:val="002015A7"/>
    <w:rsid w:val="00204BFE"/>
    <w:rsid w:val="00213111"/>
    <w:rsid w:val="00222537"/>
    <w:rsid w:val="00222F0D"/>
    <w:rsid w:val="00226E03"/>
    <w:rsid w:val="00232D44"/>
    <w:rsid w:val="00241E42"/>
    <w:rsid w:val="00244CB6"/>
    <w:rsid w:val="00245245"/>
    <w:rsid w:val="00246AAB"/>
    <w:rsid w:val="002528EB"/>
    <w:rsid w:val="0025379D"/>
    <w:rsid w:val="0025397D"/>
    <w:rsid w:val="002637EF"/>
    <w:rsid w:val="002659E5"/>
    <w:rsid w:val="002667C7"/>
    <w:rsid w:val="00271864"/>
    <w:rsid w:val="00285A90"/>
    <w:rsid w:val="00286F41"/>
    <w:rsid w:val="0029097E"/>
    <w:rsid w:val="00296AEB"/>
    <w:rsid w:val="00296EC1"/>
    <w:rsid w:val="002A126F"/>
    <w:rsid w:val="002A28B9"/>
    <w:rsid w:val="002A38D1"/>
    <w:rsid w:val="002A62A6"/>
    <w:rsid w:val="002A78F3"/>
    <w:rsid w:val="002B1927"/>
    <w:rsid w:val="002B1ED4"/>
    <w:rsid w:val="002C2771"/>
    <w:rsid w:val="002C2A5A"/>
    <w:rsid w:val="002C3F8B"/>
    <w:rsid w:val="002C56E4"/>
    <w:rsid w:val="002D1821"/>
    <w:rsid w:val="002D27D1"/>
    <w:rsid w:val="002D28EE"/>
    <w:rsid w:val="002D6A18"/>
    <w:rsid w:val="002E7D9D"/>
    <w:rsid w:val="002F1B84"/>
    <w:rsid w:val="002F565C"/>
    <w:rsid w:val="003003A4"/>
    <w:rsid w:val="00300443"/>
    <w:rsid w:val="00302AD6"/>
    <w:rsid w:val="00304579"/>
    <w:rsid w:val="003063AE"/>
    <w:rsid w:val="003139E7"/>
    <w:rsid w:val="00320FF0"/>
    <w:rsid w:val="003329BA"/>
    <w:rsid w:val="00333B2C"/>
    <w:rsid w:val="00336D84"/>
    <w:rsid w:val="003414BA"/>
    <w:rsid w:val="00343214"/>
    <w:rsid w:val="00343F08"/>
    <w:rsid w:val="00345674"/>
    <w:rsid w:val="00345CDE"/>
    <w:rsid w:val="00353846"/>
    <w:rsid w:val="0035684D"/>
    <w:rsid w:val="0036132C"/>
    <w:rsid w:val="00364602"/>
    <w:rsid w:val="003665E1"/>
    <w:rsid w:val="00375A36"/>
    <w:rsid w:val="00381CB4"/>
    <w:rsid w:val="0038500E"/>
    <w:rsid w:val="00397E75"/>
    <w:rsid w:val="003A4A4D"/>
    <w:rsid w:val="003A56D9"/>
    <w:rsid w:val="003A698D"/>
    <w:rsid w:val="003A756C"/>
    <w:rsid w:val="003B1F56"/>
    <w:rsid w:val="003C5CAE"/>
    <w:rsid w:val="003C680D"/>
    <w:rsid w:val="003D3672"/>
    <w:rsid w:val="003D708A"/>
    <w:rsid w:val="003E0C4A"/>
    <w:rsid w:val="003E206D"/>
    <w:rsid w:val="003E255E"/>
    <w:rsid w:val="003F3E84"/>
    <w:rsid w:val="003F6B9E"/>
    <w:rsid w:val="0040052A"/>
    <w:rsid w:val="0040692E"/>
    <w:rsid w:val="00416C97"/>
    <w:rsid w:val="00417F80"/>
    <w:rsid w:val="0042735A"/>
    <w:rsid w:val="004314F5"/>
    <w:rsid w:val="00441590"/>
    <w:rsid w:val="004448A9"/>
    <w:rsid w:val="00444D15"/>
    <w:rsid w:val="0045477B"/>
    <w:rsid w:val="004656DA"/>
    <w:rsid w:val="00465A79"/>
    <w:rsid w:val="00467224"/>
    <w:rsid w:val="00471AE4"/>
    <w:rsid w:val="00471FEE"/>
    <w:rsid w:val="0047219A"/>
    <w:rsid w:val="00473A7F"/>
    <w:rsid w:val="004746C3"/>
    <w:rsid w:val="00477DC1"/>
    <w:rsid w:val="0048101F"/>
    <w:rsid w:val="00490D11"/>
    <w:rsid w:val="0049257C"/>
    <w:rsid w:val="00494C2A"/>
    <w:rsid w:val="004A6F55"/>
    <w:rsid w:val="004B2167"/>
    <w:rsid w:val="004C0B98"/>
    <w:rsid w:val="004C31BB"/>
    <w:rsid w:val="004D2020"/>
    <w:rsid w:val="004E1158"/>
    <w:rsid w:val="004E2AFA"/>
    <w:rsid w:val="004E64A9"/>
    <w:rsid w:val="004E71CC"/>
    <w:rsid w:val="004F2952"/>
    <w:rsid w:val="004F44EE"/>
    <w:rsid w:val="00502A07"/>
    <w:rsid w:val="00510F08"/>
    <w:rsid w:val="0051122B"/>
    <w:rsid w:val="00512FAE"/>
    <w:rsid w:val="0051622E"/>
    <w:rsid w:val="005207FF"/>
    <w:rsid w:val="005242FB"/>
    <w:rsid w:val="00530104"/>
    <w:rsid w:val="00533B87"/>
    <w:rsid w:val="00535E74"/>
    <w:rsid w:val="00545C1C"/>
    <w:rsid w:val="00563879"/>
    <w:rsid w:val="00571CFD"/>
    <w:rsid w:val="005771D8"/>
    <w:rsid w:val="00580F5F"/>
    <w:rsid w:val="00582C92"/>
    <w:rsid w:val="00585E4D"/>
    <w:rsid w:val="005901F3"/>
    <w:rsid w:val="00593385"/>
    <w:rsid w:val="005A0B58"/>
    <w:rsid w:val="005A2A55"/>
    <w:rsid w:val="005A4637"/>
    <w:rsid w:val="005A768D"/>
    <w:rsid w:val="005C146F"/>
    <w:rsid w:val="005C28F7"/>
    <w:rsid w:val="005D1124"/>
    <w:rsid w:val="005D1349"/>
    <w:rsid w:val="005D3AB6"/>
    <w:rsid w:val="005D5569"/>
    <w:rsid w:val="005D74E2"/>
    <w:rsid w:val="005E0201"/>
    <w:rsid w:val="005E28C1"/>
    <w:rsid w:val="005E2C23"/>
    <w:rsid w:val="005F3C2E"/>
    <w:rsid w:val="00602C84"/>
    <w:rsid w:val="006030E0"/>
    <w:rsid w:val="00604E0C"/>
    <w:rsid w:val="00605DBC"/>
    <w:rsid w:val="006100A6"/>
    <w:rsid w:val="00613E79"/>
    <w:rsid w:val="00614148"/>
    <w:rsid w:val="00614897"/>
    <w:rsid w:val="00621F86"/>
    <w:rsid w:val="006226E6"/>
    <w:rsid w:val="0062513D"/>
    <w:rsid w:val="00625CE3"/>
    <w:rsid w:val="00630CFF"/>
    <w:rsid w:val="0063292B"/>
    <w:rsid w:val="006342C0"/>
    <w:rsid w:val="00637A2E"/>
    <w:rsid w:val="006435FC"/>
    <w:rsid w:val="006472D4"/>
    <w:rsid w:val="00657A67"/>
    <w:rsid w:val="00661EA4"/>
    <w:rsid w:val="006665D8"/>
    <w:rsid w:val="00667D2F"/>
    <w:rsid w:val="00671CBC"/>
    <w:rsid w:val="00674626"/>
    <w:rsid w:val="00677EC4"/>
    <w:rsid w:val="00684D11"/>
    <w:rsid w:val="006855B6"/>
    <w:rsid w:val="00686412"/>
    <w:rsid w:val="00692186"/>
    <w:rsid w:val="0069248F"/>
    <w:rsid w:val="0069539D"/>
    <w:rsid w:val="0069613C"/>
    <w:rsid w:val="006A13C7"/>
    <w:rsid w:val="006A357F"/>
    <w:rsid w:val="006A3EB5"/>
    <w:rsid w:val="006B5AEB"/>
    <w:rsid w:val="006B6B36"/>
    <w:rsid w:val="006C599E"/>
    <w:rsid w:val="006C68F9"/>
    <w:rsid w:val="006D57C0"/>
    <w:rsid w:val="006D661B"/>
    <w:rsid w:val="006E4F9B"/>
    <w:rsid w:val="006E760D"/>
    <w:rsid w:val="006E7C7D"/>
    <w:rsid w:val="006F78D6"/>
    <w:rsid w:val="007027DB"/>
    <w:rsid w:val="0070617F"/>
    <w:rsid w:val="0071319B"/>
    <w:rsid w:val="00716B58"/>
    <w:rsid w:val="0072125A"/>
    <w:rsid w:val="0075082D"/>
    <w:rsid w:val="007566BD"/>
    <w:rsid w:val="00756771"/>
    <w:rsid w:val="00756A0D"/>
    <w:rsid w:val="00757885"/>
    <w:rsid w:val="0076428B"/>
    <w:rsid w:val="007673F9"/>
    <w:rsid w:val="0077293D"/>
    <w:rsid w:val="00787E0A"/>
    <w:rsid w:val="007906E0"/>
    <w:rsid w:val="00790ADF"/>
    <w:rsid w:val="00790D9C"/>
    <w:rsid w:val="007A24F7"/>
    <w:rsid w:val="007A6E89"/>
    <w:rsid w:val="007B2988"/>
    <w:rsid w:val="007C51A9"/>
    <w:rsid w:val="007C55C1"/>
    <w:rsid w:val="007C56E7"/>
    <w:rsid w:val="007D0EF7"/>
    <w:rsid w:val="007D3355"/>
    <w:rsid w:val="007D5865"/>
    <w:rsid w:val="007D6AE8"/>
    <w:rsid w:val="007E03AD"/>
    <w:rsid w:val="007E42F4"/>
    <w:rsid w:val="007E58BC"/>
    <w:rsid w:val="007E5BF6"/>
    <w:rsid w:val="007E62CF"/>
    <w:rsid w:val="007F6851"/>
    <w:rsid w:val="00803A79"/>
    <w:rsid w:val="00803E02"/>
    <w:rsid w:val="00803E39"/>
    <w:rsid w:val="008073F5"/>
    <w:rsid w:val="00812ABE"/>
    <w:rsid w:val="00815A11"/>
    <w:rsid w:val="00815B6B"/>
    <w:rsid w:val="00825C69"/>
    <w:rsid w:val="00827BE7"/>
    <w:rsid w:val="008318B8"/>
    <w:rsid w:val="00834A32"/>
    <w:rsid w:val="00834E37"/>
    <w:rsid w:val="00837A9E"/>
    <w:rsid w:val="00840CFF"/>
    <w:rsid w:val="00843D0B"/>
    <w:rsid w:val="00845FED"/>
    <w:rsid w:val="00846C0B"/>
    <w:rsid w:val="00846D06"/>
    <w:rsid w:val="008505B9"/>
    <w:rsid w:val="00850D75"/>
    <w:rsid w:val="00851CA9"/>
    <w:rsid w:val="0085268C"/>
    <w:rsid w:val="008603C9"/>
    <w:rsid w:val="00862215"/>
    <w:rsid w:val="00863C7C"/>
    <w:rsid w:val="00863FC6"/>
    <w:rsid w:val="008715C9"/>
    <w:rsid w:val="00874686"/>
    <w:rsid w:val="008840A8"/>
    <w:rsid w:val="008863BA"/>
    <w:rsid w:val="00891A2D"/>
    <w:rsid w:val="00896649"/>
    <w:rsid w:val="0089760B"/>
    <w:rsid w:val="008A199E"/>
    <w:rsid w:val="008A66F0"/>
    <w:rsid w:val="008B700D"/>
    <w:rsid w:val="008B7A9B"/>
    <w:rsid w:val="008C0F34"/>
    <w:rsid w:val="008C2094"/>
    <w:rsid w:val="008C27BE"/>
    <w:rsid w:val="008C3CD5"/>
    <w:rsid w:val="008D4CF0"/>
    <w:rsid w:val="008D572D"/>
    <w:rsid w:val="008E16F0"/>
    <w:rsid w:val="008E6093"/>
    <w:rsid w:val="00903854"/>
    <w:rsid w:val="00903B29"/>
    <w:rsid w:val="009045A8"/>
    <w:rsid w:val="0090711B"/>
    <w:rsid w:val="00910E83"/>
    <w:rsid w:val="00915A31"/>
    <w:rsid w:val="00923760"/>
    <w:rsid w:val="00927B04"/>
    <w:rsid w:val="009314C9"/>
    <w:rsid w:val="00940B8A"/>
    <w:rsid w:val="00941215"/>
    <w:rsid w:val="00941D1B"/>
    <w:rsid w:val="0094204A"/>
    <w:rsid w:val="00943DDD"/>
    <w:rsid w:val="0094482E"/>
    <w:rsid w:val="009503B6"/>
    <w:rsid w:val="00950B19"/>
    <w:rsid w:val="009532E4"/>
    <w:rsid w:val="00955F94"/>
    <w:rsid w:val="009605FA"/>
    <w:rsid w:val="009731F4"/>
    <w:rsid w:val="009831A7"/>
    <w:rsid w:val="00985197"/>
    <w:rsid w:val="00991A20"/>
    <w:rsid w:val="009A06D3"/>
    <w:rsid w:val="009A211C"/>
    <w:rsid w:val="009A4D7E"/>
    <w:rsid w:val="009A584D"/>
    <w:rsid w:val="009A7D13"/>
    <w:rsid w:val="009B1A41"/>
    <w:rsid w:val="009B630B"/>
    <w:rsid w:val="009C4780"/>
    <w:rsid w:val="009D0999"/>
    <w:rsid w:val="009D1CB1"/>
    <w:rsid w:val="009D5576"/>
    <w:rsid w:val="009D5CFB"/>
    <w:rsid w:val="009E36E2"/>
    <w:rsid w:val="009E668F"/>
    <w:rsid w:val="009F267E"/>
    <w:rsid w:val="00A040B5"/>
    <w:rsid w:val="00A05055"/>
    <w:rsid w:val="00A06FFC"/>
    <w:rsid w:val="00A11290"/>
    <w:rsid w:val="00A14D01"/>
    <w:rsid w:val="00A15B36"/>
    <w:rsid w:val="00A15CE0"/>
    <w:rsid w:val="00A1627F"/>
    <w:rsid w:val="00A16E95"/>
    <w:rsid w:val="00A263F7"/>
    <w:rsid w:val="00A26C71"/>
    <w:rsid w:val="00A276A1"/>
    <w:rsid w:val="00A31B89"/>
    <w:rsid w:val="00A32961"/>
    <w:rsid w:val="00A3435D"/>
    <w:rsid w:val="00A3474F"/>
    <w:rsid w:val="00A34B2F"/>
    <w:rsid w:val="00A6063D"/>
    <w:rsid w:val="00A641B0"/>
    <w:rsid w:val="00A720F6"/>
    <w:rsid w:val="00A754B7"/>
    <w:rsid w:val="00A916F8"/>
    <w:rsid w:val="00A96A40"/>
    <w:rsid w:val="00A97A29"/>
    <w:rsid w:val="00A97C68"/>
    <w:rsid w:val="00AA1990"/>
    <w:rsid w:val="00AA50CB"/>
    <w:rsid w:val="00AA6B10"/>
    <w:rsid w:val="00AB1B59"/>
    <w:rsid w:val="00AB70B0"/>
    <w:rsid w:val="00AC17B1"/>
    <w:rsid w:val="00AC3254"/>
    <w:rsid w:val="00AC42A4"/>
    <w:rsid w:val="00AC691E"/>
    <w:rsid w:val="00AD060A"/>
    <w:rsid w:val="00AD0EC1"/>
    <w:rsid w:val="00AD1E37"/>
    <w:rsid w:val="00AD5706"/>
    <w:rsid w:val="00AD67B2"/>
    <w:rsid w:val="00AD7177"/>
    <w:rsid w:val="00AE481B"/>
    <w:rsid w:val="00AF40FA"/>
    <w:rsid w:val="00AF6F5B"/>
    <w:rsid w:val="00B03656"/>
    <w:rsid w:val="00B06676"/>
    <w:rsid w:val="00B1435E"/>
    <w:rsid w:val="00B176C7"/>
    <w:rsid w:val="00B25285"/>
    <w:rsid w:val="00B33523"/>
    <w:rsid w:val="00B423A8"/>
    <w:rsid w:val="00B440E0"/>
    <w:rsid w:val="00B4492E"/>
    <w:rsid w:val="00B44E14"/>
    <w:rsid w:val="00B5152E"/>
    <w:rsid w:val="00B646E7"/>
    <w:rsid w:val="00B66F84"/>
    <w:rsid w:val="00B67253"/>
    <w:rsid w:val="00B70353"/>
    <w:rsid w:val="00B74A80"/>
    <w:rsid w:val="00B758BF"/>
    <w:rsid w:val="00B75F87"/>
    <w:rsid w:val="00B81AE6"/>
    <w:rsid w:val="00B866C4"/>
    <w:rsid w:val="00B90630"/>
    <w:rsid w:val="00BA3811"/>
    <w:rsid w:val="00BA3C52"/>
    <w:rsid w:val="00BB4CBF"/>
    <w:rsid w:val="00BB7041"/>
    <w:rsid w:val="00BC7A5A"/>
    <w:rsid w:val="00BD21D3"/>
    <w:rsid w:val="00BD3D39"/>
    <w:rsid w:val="00BE037A"/>
    <w:rsid w:val="00BE064F"/>
    <w:rsid w:val="00BE0808"/>
    <w:rsid w:val="00BE5DD8"/>
    <w:rsid w:val="00BE7C13"/>
    <w:rsid w:val="00BF65F2"/>
    <w:rsid w:val="00BF7DAC"/>
    <w:rsid w:val="00C01FE1"/>
    <w:rsid w:val="00C0209D"/>
    <w:rsid w:val="00C0270F"/>
    <w:rsid w:val="00C06646"/>
    <w:rsid w:val="00C15716"/>
    <w:rsid w:val="00C23F7A"/>
    <w:rsid w:val="00C2431E"/>
    <w:rsid w:val="00C337E1"/>
    <w:rsid w:val="00C34170"/>
    <w:rsid w:val="00C43737"/>
    <w:rsid w:val="00C51493"/>
    <w:rsid w:val="00C62D51"/>
    <w:rsid w:val="00C635D9"/>
    <w:rsid w:val="00C67F11"/>
    <w:rsid w:val="00C70F3D"/>
    <w:rsid w:val="00C7172E"/>
    <w:rsid w:val="00C912F3"/>
    <w:rsid w:val="00CA0297"/>
    <w:rsid w:val="00CA32B3"/>
    <w:rsid w:val="00CA3639"/>
    <w:rsid w:val="00CA52DB"/>
    <w:rsid w:val="00CB1EEE"/>
    <w:rsid w:val="00CB2F38"/>
    <w:rsid w:val="00CD0EF2"/>
    <w:rsid w:val="00CD1C80"/>
    <w:rsid w:val="00CD27B8"/>
    <w:rsid w:val="00CE3F43"/>
    <w:rsid w:val="00CF6300"/>
    <w:rsid w:val="00CF763E"/>
    <w:rsid w:val="00D05AF4"/>
    <w:rsid w:val="00D06318"/>
    <w:rsid w:val="00D06B8E"/>
    <w:rsid w:val="00D1211C"/>
    <w:rsid w:val="00D14471"/>
    <w:rsid w:val="00D153DB"/>
    <w:rsid w:val="00D22707"/>
    <w:rsid w:val="00D24236"/>
    <w:rsid w:val="00D2434A"/>
    <w:rsid w:val="00D25CC8"/>
    <w:rsid w:val="00D27508"/>
    <w:rsid w:val="00D34357"/>
    <w:rsid w:val="00D36E44"/>
    <w:rsid w:val="00D401FA"/>
    <w:rsid w:val="00D40439"/>
    <w:rsid w:val="00D4430E"/>
    <w:rsid w:val="00D50A4E"/>
    <w:rsid w:val="00D50C7E"/>
    <w:rsid w:val="00D52B59"/>
    <w:rsid w:val="00D543FB"/>
    <w:rsid w:val="00D54ECC"/>
    <w:rsid w:val="00D556D4"/>
    <w:rsid w:val="00D634F6"/>
    <w:rsid w:val="00D63769"/>
    <w:rsid w:val="00D649CD"/>
    <w:rsid w:val="00D7056E"/>
    <w:rsid w:val="00D708DA"/>
    <w:rsid w:val="00D731BA"/>
    <w:rsid w:val="00D7667C"/>
    <w:rsid w:val="00D871F3"/>
    <w:rsid w:val="00D93A2D"/>
    <w:rsid w:val="00D94F4F"/>
    <w:rsid w:val="00DA75FC"/>
    <w:rsid w:val="00DB2B93"/>
    <w:rsid w:val="00DB4C9A"/>
    <w:rsid w:val="00DC150A"/>
    <w:rsid w:val="00DC685F"/>
    <w:rsid w:val="00DD7270"/>
    <w:rsid w:val="00DE1EDC"/>
    <w:rsid w:val="00DE2E57"/>
    <w:rsid w:val="00DE5757"/>
    <w:rsid w:val="00DE666D"/>
    <w:rsid w:val="00DE66A0"/>
    <w:rsid w:val="00DE7F83"/>
    <w:rsid w:val="00DF206D"/>
    <w:rsid w:val="00DF5481"/>
    <w:rsid w:val="00E028F0"/>
    <w:rsid w:val="00E067CB"/>
    <w:rsid w:val="00E2027A"/>
    <w:rsid w:val="00E21F08"/>
    <w:rsid w:val="00E22D7C"/>
    <w:rsid w:val="00E238C0"/>
    <w:rsid w:val="00E240A6"/>
    <w:rsid w:val="00E2749A"/>
    <w:rsid w:val="00E32C3E"/>
    <w:rsid w:val="00E337C8"/>
    <w:rsid w:val="00E348A9"/>
    <w:rsid w:val="00E37DCD"/>
    <w:rsid w:val="00E437E0"/>
    <w:rsid w:val="00E45102"/>
    <w:rsid w:val="00E45F3B"/>
    <w:rsid w:val="00E51443"/>
    <w:rsid w:val="00E6326B"/>
    <w:rsid w:val="00E635B0"/>
    <w:rsid w:val="00E648D7"/>
    <w:rsid w:val="00E6719E"/>
    <w:rsid w:val="00E7036C"/>
    <w:rsid w:val="00E7214F"/>
    <w:rsid w:val="00E81A7F"/>
    <w:rsid w:val="00E85E6C"/>
    <w:rsid w:val="00E861E5"/>
    <w:rsid w:val="00E866C3"/>
    <w:rsid w:val="00E90E06"/>
    <w:rsid w:val="00E92A0F"/>
    <w:rsid w:val="00E92ECD"/>
    <w:rsid w:val="00E963A2"/>
    <w:rsid w:val="00E96F2E"/>
    <w:rsid w:val="00E97E70"/>
    <w:rsid w:val="00EA0740"/>
    <w:rsid w:val="00EA1E7E"/>
    <w:rsid w:val="00EA424E"/>
    <w:rsid w:val="00EA769B"/>
    <w:rsid w:val="00EB2760"/>
    <w:rsid w:val="00EC1376"/>
    <w:rsid w:val="00EC1A32"/>
    <w:rsid w:val="00EC4968"/>
    <w:rsid w:val="00EC65D7"/>
    <w:rsid w:val="00ED1DC1"/>
    <w:rsid w:val="00EE331E"/>
    <w:rsid w:val="00EE38CD"/>
    <w:rsid w:val="00EE484B"/>
    <w:rsid w:val="00EE765C"/>
    <w:rsid w:val="00EF6A7D"/>
    <w:rsid w:val="00F01767"/>
    <w:rsid w:val="00F0521B"/>
    <w:rsid w:val="00F06744"/>
    <w:rsid w:val="00F06E71"/>
    <w:rsid w:val="00F11F9D"/>
    <w:rsid w:val="00F14D1D"/>
    <w:rsid w:val="00F16A87"/>
    <w:rsid w:val="00F24791"/>
    <w:rsid w:val="00F27243"/>
    <w:rsid w:val="00F272B4"/>
    <w:rsid w:val="00F31AF4"/>
    <w:rsid w:val="00F3573A"/>
    <w:rsid w:val="00F5172F"/>
    <w:rsid w:val="00F526BA"/>
    <w:rsid w:val="00F5382A"/>
    <w:rsid w:val="00F538C3"/>
    <w:rsid w:val="00F54144"/>
    <w:rsid w:val="00F542E9"/>
    <w:rsid w:val="00F5512C"/>
    <w:rsid w:val="00F56F19"/>
    <w:rsid w:val="00F65F18"/>
    <w:rsid w:val="00F67297"/>
    <w:rsid w:val="00F7286C"/>
    <w:rsid w:val="00F72E38"/>
    <w:rsid w:val="00F82427"/>
    <w:rsid w:val="00F9006C"/>
    <w:rsid w:val="00F95DD7"/>
    <w:rsid w:val="00F96B84"/>
    <w:rsid w:val="00FA1710"/>
    <w:rsid w:val="00FA35D3"/>
    <w:rsid w:val="00FC06E8"/>
    <w:rsid w:val="00FC46D7"/>
    <w:rsid w:val="00FC5819"/>
    <w:rsid w:val="00FC7235"/>
    <w:rsid w:val="00FD101E"/>
    <w:rsid w:val="00FD4DD7"/>
    <w:rsid w:val="00FD6BAD"/>
    <w:rsid w:val="00FE05BB"/>
    <w:rsid w:val="00FE17C1"/>
    <w:rsid w:val="00FE496E"/>
    <w:rsid w:val="00FE53C3"/>
    <w:rsid w:val="00FE6C07"/>
    <w:rsid w:val="00FF0C83"/>
    <w:rsid w:val="00FF3332"/>
    <w:rsid w:val="00FF4CF0"/>
    <w:rsid w:val="00FF5992"/>
    <w:rsid w:val="00FF5D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4E40"/>
  <w15:docId w15:val="{B162770E-F088-4C09-821A-AB14D758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A4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B1A41"/>
    <w:pPr>
      <w:keepNext/>
      <w:ind w:right="-148"/>
      <w:jc w:val="center"/>
      <w:outlineLvl w:val="0"/>
    </w:pPr>
    <w:rPr>
      <w:i/>
    </w:rPr>
  </w:style>
  <w:style w:type="paragraph" w:styleId="Heading2">
    <w:name w:val="heading 2"/>
    <w:basedOn w:val="Normal"/>
    <w:next w:val="Normal"/>
    <w:link w:val="Heading2Char"/>
    <w:autoRedefine/>
    <w:qFormat/>
    <w:rsid w:val="009F267E"/>
    <w:pPr>
      <w:keepNext/>
      <w:keepLines/>
      <w:numPr>
        <w:ilvl w:val="1"/>
        <w:numId w:val="8"/>
      </w:numPr>
      <w:outlineLvl w:val="1"/>
    </w:pPr>
    <w:rPr>
      <w:rFonts w:cs="Arial"/>
      <w:b/>
      <w:bCs/>
      <w:iCs/>
      <w:sz w:val="32"/>
      <w:szCs w:val="28"/>
    </w:rPr>
  </w:style>
  <w:style w:type="paragraph" w:styleId="Heading3">
    <w:name w:val="heading 3"/>
    <w:basedOn w:val="Normal"/>
    <w:next w:val="Normal"/>
    <w:link w:val="Heading3Char"/>
    <w:qFormat/>
    <w:rsid w:val="009B1A41"/>
    <w:pPr>
      <w:keepNext/>
      <w:jc w:val="both"/>
      <w:outlineLvl w:val="2"/>
    </w:pPr>
    <w:rPr>
      <w:b/>
      <w:sz w:val="20"/>
    </w:rPr>
  </w:style>
  <w:style w:type="paragraph" w:styleId="Heading4">
    <w:name w:val="heading 4"/>
    <w:basedOn w:val="Normal"/>
    <w:next w:val="Normal"/>
    <w:link w:val="Heading4Char"/>
    <w:autoRedefine/>
    <w:qFormat/>
    <w:rsid w:val="009F267E"/>
    <w:pPr>
      <w:keepNext/>
      <w:numPr>
        <w:ilvl w:val="3"/>
        <w:numId w:val="10"/>
      </w:numPr>
      <w:spacing w:before="240" w:after="60"/>
      <w:outlineLvl w:val="3"/>
    </w:pPr>
    <w:rPr>
      <w:b/>
      <w:bCs/>
      <w:szCs w:val="28"/>
    </w:rPr>
  </w:style>
  <w:style w:type="paragraph" w:styleId="Heading5">
    <w:name w:val="heading 5"/>
    <w:basedOn w:val="Normal"/>
    <w:next w:val="Normal"/>
    <w:link w:val="Heading5Char"/>
    <w:autoRedefine/>
    <w:qFormat/>
    <w:rsid w:val="009F267E"/>
    <w:pPr>
      <w:numPr>
        <w:ilvl w:val="4"/>
        <w:numId w:val="10"/>
      </w:numPr>
      <w:spacing w:before="240" w:after="60"/>
      <w:outlineLvl w:val="4"/>
    </w:pPr>
    <w:rPr>
      <w:b/>
      <w:bCs/>
      <w:i/>
      <w:iCs/>
      <w:szCs w:val="26"/>
    </w:rPr>
  </w:style>
  <w:style w:type="paragraph" w:styleId="Heading6">
    <w:name w:val="heading 6"/>
    <w:basedOn w:val="Normal"/>
    <w:next w:val="Normal"/>
    <w:link w:val="Heading6Char"/>
    <w:autoRedefine/>
    <w:qFormat/>
    <w:rsid w:val="009F267E"/>
    <w:pPr>
      <w:numPr>
        <w:ilvl w:val="5"/>
        <w:numId w:val="10"/>
      </w:numPr>
      <w:spacing w:before="240" w:after="60"/>
      <w:outlineLvl w:val="5"/>
    </w:pPr>
    <w:rPr>
      <w:b/>
      <w:bCs/>
    </w:rPr>
  </w:style>
  <w:style w:type="paragraph" w:styleId="Heading7">
    <w:name w:val="heading 7"/>
    <w:basedOn w:val="Normal"/>
    <w:next w:val="Normal"/>
    <w:link w:val="Heading7Char"/>
    <w:autoRedefine/>
    <w:qFormat/>
    <w:rsid w:val="009F267E"/>
    <w:pPr>
      <w:numPr>
        <w:ilvl w:val="6"/>
        <w:numId w:val="10"/>
      </w:numPr>
      <w:spacing w:before="240" w:after="60"/>
      <w:outlineLvl w:val="6"/>
    </w:pPr>
  </w:style>
  <w:style w:type="paragraph" w:styleId="Heading8">
    <w:name w:val="heading 8"/>
    <w:basedOn w:val="Normal"/>
    <w:next w:val="Normal"/>
    <w:link w:val="Heading8Char"/>
    <w:autoRedefine/>
    <w:qFormat/>
    <w:rsid w:val="009F267E"/>
    <w:pPr>
      <w:numPr>
        <w:ilvl w:val="7"/>
        <w:numId w:val="10"/>
      </w:num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24E"/>
    <w:rPr>
      <w:rFonts w:ascii="Times New Roman" w:eastAsia="Times New Roman" w:hAnsi="Times New Roman" w:cs="Times New Roman"/>
      <w:i/>
      <w:sz w:val="24"/>
      <w:szCs w:val="20"/>
      <w:lang w:val="en-US"/>
    </w:rPr>
  </w:style>
  <w:style w:type="character" w:customStyle="1" w:styleId="Heading2Char">
    <w:name w:val="Heading 2 Char"/>
    <w:basedOn w:val="DefaultParagraphFont"/>
    <w:link w:val="Heading2"/>
    <w:rsid w:val="009F267E"/>
    <w:rPr>
      <w:rFonts w:ascii="Times New Roman" w:hAnsi="Times New Roman" w:cs="Arial"/>
      <w:b/>
      <w:bCs/>
      <w:iCs/>
      <w:sz w:val="32"/>
      <w:szCs w:val="28"/>
      <w:lang w:val="en-US"/>
    </w:rPr>
  </w:style>
  <w:style w:type="character" w:customStyle="1" w:styleId="Heading3Char">
    <w:name w:val="Heading 3 Char"/>
    <w:basedOn w:val="DefaultParagraphFont"/>
    <w:link w:val="Heading3"/>
    <w:rsid w:val="00EA424E"/>
    <w:rPr>
      <w:rFonts w:ascii="Times New Roman" w:eastAsia="Times New Roman" w:hAnsi="Times New Roman" w:cs="Times New Roman"/>
      <w:b/>
      <w:sz w:val="20"/>
      <w:szCs w:val="20"/>
      <w:lang w:val="en-US"/>
    </w:rPr>
  </w:style>
  <w:style w:type="character" w:customStyle="1" w:styleId="Heading4Char">
    <w:name w:val="Heading 4 Char"/>
    <w:basedOn w:val="DefaultParagraphFont"/>
    <w:link w:val="Heading4"/>
    <w:rsid w:val="00EA424E"/>
    <w:rPr>
      <w:rFonts w:ascii="Times New Roman" w:eastAsia="MS Mincho" w:hAnsi="Times New Roman" w:cs="Times New Roman"/>
      <w:b/>
      <w:bCs/>
      <w:sz w:val="24"/>
      <w:szCs w:val="28"/>
      <w:lang w:eastAsia="ja-JP"/>
    </w:rPr>
  </w:style>
  <w:style w:type="character" w:customStyle="1" w:styleId="Heading5Char">
    <w:name w:val="Heading 5 Char"/>
    <w:basedOn w:val="DefaultParagraphFont"/>
    <w:link w:val="Heading5"/>
    <w:rsid w:val="00EA424E"/>
    <w:rPr>
      <w:rFonts w:ascii="Times New Roman" w:eastAsia="MS Mincho" w:hAnsi="Times New Roman" w:cs="Times New Roman"/>
      <w:b/>
      <w:bCs/>
      <w:i/>
      <w:iCs/>
      <w:sz w:val="24"/>
      <w:szCs w:val="26"/>
      <w:lang w:eastAsia="ja-JP"/>
    </w:rPr>
  </w:style>
  <w:style w:type="character" w:customStyle="1" w:styleId="Heading6Char">
    <w:name w:val="Heading 6 Char"/>
    <w:basedOn w:val="DefaultParagraphFont"/>
    <w:link w:val="Heading6"/>
    <w:rsid w:val="00EA424E"/>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EA424E"/>
    <w:rPr>
      <w:rFonts w:ascii="Times New Roman" w:eastAsia="MS Mincho" w:hAnsi="Times New Roman" w:cs="Times New Roman"/>
      <w:sz w:val="24"/>
      <w:szCs w:val="24"/>
      <w:lang w:eastAsia="ja-JP"/>
    </w:rPr>
  </w:style>
  <w:style w:type="character" w:customStyle="1" w:styleId="Heading8Char">
    <w:name w:val="Heading 8 Char"/>
    <w:basedOn w:val="DefaultParagraphFont"/>
    <w:link w:val="Heading8"/>
    <w:rsid w:val="00EA424E"/>
    <w:rPr>
      <w:rFonts w:ascii="Times New Roman" w:eastAsia="MS Mincho" w:hAnsi="Times New Roman" w:cs="Times New Roman"/>
      <w:i/>
      <w:iCs/>
      <w:sz w:val="24"/>
      <w:szCs w:val="24"/>
      <w:lang w:eastAsia="ja-JP"/>
    </w:rPr>
  </w:style>
  <w:style w:type="paragraph" w:styleId="Caption">
    <w:name w:val="caption"/>
    <w:basedOn w:val="Normal"/>
    <w:next w:val="Normal"/>
    <w:link w:val="CaptionChar"/>
    <w:qFormat/>
    <w:rsid w:val="009B1A41"/>
    <w:pPr>
      <w:spacing w:before="120" w:after="120"/>
    </w:pPr>
    <w:rPr>
      <w:b/>
    </w:rPr>
  </w:style>
  <w:style w:type="character" w:customStyle="1" w:styleId="CaptionChar">
    <w:name w:val="Caption Char"/>
    <w:basedOn w:val="DefaultParagraphFont"/>
    <w:link w:val="Caption"/>
    <w:rsid w:val="006A13C7"/>
    <w:rPr>
      <w:rFonts w:ascii="Times New Roman" w:eastAsia="Times New Roman" w:hAnsi="Times New Roman" w:cs="Times New Roman"/>
      <w:b/>
      <w:sz w:val="24"/>
      <w:szCs w:val="20"/>
      <w:lang w:val="en-US"/>
    </w:rPr>
  </w:style>
  <w:style w:type="character" w:styleId="Emphasis">
    <w:name w:val="Emphasis"/>
    <w:aliases w:val="Source"/>
    <w:basedOn w:val="DefaultParagraphFont"/>
    <w:uiPriority w:val="20"/>
    <w:qFormat/>
    <w:rsid w:val="006A13C7"/>
    <w:rPr>
      <w:rFonts w:ascii="Times New Roman" w:hAnsi="Times New Roman"/>
      <w:i/>
      <w:iCs/>
      <w:sz w:val="20"/>
    </w:rPr>
  </w:style>
  <w:style w:type="paragraph" w:customStyle="1" w:styleId="Source">
    <w:name w:val="Source_"/>
    <w:autoRedefine/>
    <w:qFormat/>
    <w:rsid w:val="006A13C7"/>
    <w:pPr>
      <w:jc w:val="center"/>
    </w:pPr>
    <w:rPr>
      <w:rFonts w:ascii="Times New Roman" w:eastAsiaTheme="majorEastAsia" w:hAnsi="Times New Roman" w:cstheme="majorBidi"/>
      <w:i/>
      <w:iCs/>
      <w:spacing w:val="15"/>
      <w:sz w:val="20"/>
      <w:szCs w:val="24"/>
      <w:lang w:eastAsia="ja-JP"/>
    </w:rPr>
  </w:style>
  <w:style w:type="paragraph" w:styleId="Footer">
    <w:name w:val="footer"/>
    <w:basedOn w:val="Normal"/>
    <w:link w:val="FooterChar"/>
    <w:uiPriority w:val="99"/>
    <w:rsid w:val="009B1A41"/>
    <w:pPr>
      <w:tabs>
        <w:tab w:val="center" w:pos="4153"/>
        <w:tab w:val="right" w:pos="8306"/>
      </w:tabs>
    </w:pPr>
  </w:style>
  <w:style w:type="character" w:customStyle="1" w:styleId="FooterChar">
    <w:name w:val="Footer Char"/>
    <w:basedOn w:val="DefaultParagraphFont"/>
    <w:link w:val="Footer"/>
    <w:uiPriority w:val="99"/>
    <w:rsid w:val="009B1A41"/>
    <w:rPr>
      <w:rFonts w:ascii="Times New Roman" w:eastAsia="Times New Roman" w:hAnsi="Times New Roman" w:cs="Times New Roman"/>
      <w:sz w:val="24"/>
      <w:szCs w:val="20"/>
      <w:lang w:val="en-US"/>
    </w:rPr>
  </w:style>
  <w:style w:type="character" w:styleId="PageNumber">
    <w:name w:val="page number"/>
    <w:basedOn w:val="DefaultParagraphFont"/>
    <w:rsid w:val="009B1A41"/>
  </w:style>
  <w:style w:type="paragraph" w:styleId="BodyText">
    <w:name w:val="Body Text"/>
    <w:basedOn w:val="Normal"/>
    <w:link w:val="BodyTextChar"/>
    <w:rsid w:val="009B1A41"/>
    <w:pPr>
      <w:jc w:val="center"/>
    </w:pPr>
    <w:rPr>
      <w:b/>
    </w:rPr>
  </w:style>
  <w:style w:type="character" w:customStyle="1" w:styleId="BodyTextChar">
    <w:name w:val="Body Text Char"/>
    <w:basedOn w:val="DefaultParagraphFont"/>
    <w:link w:val="BodyText"/>
    <w:rsid w:val="009B1A41"/>
    <w:rPr>
      <w:rFonts w:ascii="Times New Roman" w:eastAsia="Times New Roman" w:hAnsi="Times New Roman" w:cs="Times New Roman"/>
      <w:b/>
      <w:sz w:val="24"/>
      <w:szCs w:val="20"/>
      <w:lang w:val="en-US"/>
    </w:rPr>
  </w:style>
  <w:style w:type="paragraph" w:styleId="BodyTextIndent">
    <w:name w:val="Body Text Indent"/>
    <w:basedOn w:val="Normal"/>
    <w:link w:val="BodyTextIndentChar"/>
    <w:rsid w:val="009B1A41"/>
    <w:pPr>
      <w:ind w:firstLine="284"/>
      <w:jc w:val="both"/>
    </w:pPr>
    <w:rPr>
      <w:i/>
      <w:sz w:val="22"/>
    </w:rPr>
  </w:style>
  <w:style w:type="character" w:customStyle="1" w:styleId="BodyTextIndentChar">
    <w:name w:val="Body Text Indent Char"/>
    <w:basedOn w:val="DefaultParagraphFont"/>
    <w:link w:val="BodyTextIndent"/>
    <w:rsid w:val="009B1A41"/>
    <w:rPr>
      <w:rFonts w:ascii="Times New Roman" w:eastAsia="Times New Roman" w:hAnsi="Times New Roman" w:cs="Times New Roman"/>
      <w:i/>
      <w:szCs w:val="20"/>
      <w:lang w:val="en-US"/>
    </w:rPr>
  </w:style>
  <w:style w:type="paragraph" w:styleId="BodyTextIndent2">
    <w:name w:val="Body Text Indent 2"/>
    <w:basedOn w:val="Normal"/>
    <w:link w:val="BodyTextIndent2Char"/>
    <w:rsid w:val="009B1A41"/>
    <w:pPr>
      <w:ind w:firstLine="284"/>
      <w:jc w:val="both"/>
    </w:pPr>
    <w:rPr>
      <w:sz w:val="22"/>
    </w:rPr>
  </w:style>
  <w:style w:type="character" w:customStyle="1" w:styleId="BodyTextIndent2Char">
    <w:name w:val="Body Text Indent 2 Char"/>
    <w:link w:val="BodyTextIndent2"/>
    <w:rsid w:val="009B1A41"/>
    <w:rPr>
      <w:rFonts w:ascii="Times New Roman" w:eastAsia="Times New Roman" w:hAnsi="Times New Roman" w:cs="Times New Roman"/>
      <w:szCs w:val="20"/>
      <w:lang w:val="en-US"/>
    </w:rPr>
  </w:style>
  <w:style w:type="paragraph" w:styleId="BodyText2">
    <w:name w:val="Body Text 2"/>
    <w:basedOn w:val="Normal"/>
    <w:link w:val="BodyText2Char"/>
    <w:rsid w:val="009B1A41"/>
    <w:pPr>
      <w:ind w:right="-148"/>
    </w:pPr>
    <w:rPr>
      <w:b/>
      <w:color w:val="000000"/>
      <w:sz w:val="36"/>
    </w:rPr>
  </w:style>
  <w:style w:type="character" w:customStyle="1" w:styleId="BodyText2Char">
    <w:name w:val="Body Text 2 Char"/>
    <w:basedOn w:val="DefaultParagraphFont"/>
    <w:link w:val="BodyText2"/>
    <w:rsid w:val="009B1A41"/>
    <w:rPr>
      <w:rFonts w:ascii="Times New Roman" w:eastAsia="Times New Roman" w:hAnsi="Times New Roman" w:cs="Times New Roman"/>
      <w:b/>
      <w:color w:val="000000"/>
      <w:sz w:val="36"/>
      <w:szCs w:val="20"/>
      <w:lang w:val="en-US"/>
    </w:rPr>
  </w:style>
  <w:style w:type="paragraph" w:styleId="BodyText3">
    <w:name w:val="Body Text 3"/>
    <w:basedOn w:val="Normal"/>
    <w:link w:val="BodyText3Char"/>
    <w:rsid w:val="009B1A41"/>
    <w:pPr>
      <w:jc w:val="both"/>
    </w:pPr>
    <w:rPr>
      <w:sz w:val="20"/>
    </w:rPr>
  </w:style>
  <w:style w:type="character" w:customStyle="1" w:styleId="BodyText3Char">
    <w:name w:val="Body Text 3 Char"/>
    <w:basedOn w:val="DefaultParagraphFont"/>
    <w:link w:val="BodyText3"/>
    <w:rsid w:val="009B1A41"/>
    <w:rPr>
      <w:rFonts w:ascii="Times New Roman" w:eastAsia="Times New Roman" w:hAnsi="Times New Roman" w:cs="Times New Roman"/>
      <w:sz w:val="20"/>
      <w:szCs w:val="20"/>
      <w:lang w:val="en-US"/>
    </w:rPr>
  </w:style>
  <w:style w:type="character" w:styleId="Hyperlink">
    <w:name w:val="Hyperlink"/>
    <w:rsid w:val="009B1A41"/>
    <w:rPr>
      <w:color w:val="0000FF"/>
      <w:u w:val="single"/>
    </w:rPr>
  </w:style>
  <w:style w:type="paragraph" w:customStyle="1" w:styleId="StyleCenteredBefore6pt">
    <w:name w:val="Style Centered Before:  6 pt"/>
    <w:basedOn w:val="Normal"/>
    <w:rsid w:val="009B1A41"/>
    <w:pPr>
      <w:spacing w:before="120"/>
      <w:jc w:val="center"/>
    </w:pPr>
  </w:style>
  <w:style w:type="paragraph" w:customStyle="1" w:styleId="StyleCentered">
    <w:name w:val="Style Centered"/>
    <w:basedOn w:val="Normal"/>
    <w:rsid w:val="009B1A41"/>
    <w:pPr>
      <w:jc w:val="center"/>
    </w:pPr>
  </w:style>
  <w:style w:type="paragraph" w:customStyle="1" w:styleId="StyleJustifiedBefore6pt">
    <w:name w:val="Style Justified Before:  6 pt"/>
    <w:basedOn w:val="Normal"/>
    <w:rsid w:val="009B1A41"/>
    <w:pPr>
      <w:spacing w:before="120"/>
      <w:jc w:val="both"/>
    </w:pPr>
  </w:style>
  <w:style w:type="paragraph" w:customStyle="1" w:styleId="StyleBodyTextIndent210ptBoldFirstline0cmRight">
    <w:name w:val="Style Body Text Indent 2 + 10 pt Bold First line:  0 cm Right:  ..."/>
    <w:basedOn w:val="BodyTextIndent2"/>
    <w:rsid w:val="009B1A41"/>
  </w:style>
  <w:style w:type="character" w:customStyle="1" w:styleId="StyleTimesNewRoman10pt">
    <w:name w:val="Style Times New Roman 10 pt"/>
    <w:rsid w:val="009B1A41"/>
    <w:rPr>
      <w:rFonts w:ascii="Times New Roman" w:hAnsi="Times New Roman"/>
      <w:sz w:val="20"/>
    </w:rPr>
  </w:style>
  <w:style w:type="paragraph" w:customStyle="1" w:styleId="StyleBodyTextIndent210ptFirstline0cmRight012cm">
    <w:name w:val="Style Body Text Indent 2 + 10 pt First line:  0 cm Right:  012 cm"/>
    <w:basedOn w:val="BodyTextIndent2"/>
    <w:link w:val="StyleBodyTextIndent210ptFirstline0cmRight012cmChar"/>
    <w:rsid w:val="009B1A41"/>
  </w:style>
  <w:style w:type="table" w:styleId="TableGrid">
    <w:name w:val="Table Grid"/>
    <w:basedOn w:val="TableNormal"/>
    <w:uiPriority w:val="59"/>
    <w:rsid w:val="009B1A4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B1A41"/>
    <w:rPr>
      <w:sz w:val="20"/>
    </w:rPr>
  </w:style>
  <w:style w:type="character" w:customStyle="1" w:styleId="FootnoteTextChar">
    <w:name w:val="Footnote Text Char"/>
    <w:link w:val="FootnoteText"/>
    <w:semiHidden/>
    <w:rsid w:val="009B1A41"/>
    <w:rPr>
      <w:rFonts w:ascii="Times New Roman" w:eastAsia="Times New Roman" w:hAnsi="Times New Roman" w:cs="Times New Roman"/>
      <w:sz w:val="20"/>
      <w:szCs w:val="20"/>
      <w:lang w:val="en-US"/>
    </w:rPr>
  </w:style>
  <w:style w:type="character" w:styleId="FootnoteReference">
    <w:name w:val="footnote reference"/>
    <w:semiHidden/>
    <w:rsid w:val="009B1A41"/>
    <w:rPr>
      <w:vertAlign w:val="superscript"/>
    </w:rPr>
  </w:style>
  <w:style w:type="character" w:styleId="FollowedHyperlink">
    <w:name w:val="FollowedHyperlink"/>
    <w:rsid w:val="009B1A41"/>
    <w:rPr>
      <w:color w:val="800080"/>
      <w:u w:val="single"/>
    </w:rPr>
  </w:style>
  <w:style w:type="paragraph" w:customStyle="1" w:styleId="BodyText31">
    <w:name w:val="Body Text 31"/>
    <w:basedOn w:val="Normal"/>
    <w:rsid w:val="009B1A41"/>
    <w:pPr>
      <w:spacing w:line="288" w:lineRule="auto"/>
      <w:jc w:val="both"/>
    </w:pPr>
    <w:rPr>
      <w:lang w:val="sl-SI" w:eastAsia="sl-SI"/>
    </w:rPr>
  </w:style>
  <w:style w:type="paragraph" w:customStyle="1" w:styleId="Equationsvoje">
    <w:name w:val="Equation_svoje"/>
    <w:basedOn w:val="Normal"/>
    <w:link w:val="EquationsvojeChar"/>
    <w:rsid w:val="009B1A41"/>
    <w:pPr>
      <w:spacing w:line="288" w:lineRule="auto"/>
      <w:jc w:val="right"/>
    </w:pPr>
    <w:rPr>
      <w:bCs/>
      <w:noProof/>
      <w:szCs w:val="24"/>
      <w:lang w:eastAsia="sl-SI"/>
    </w:rPr>
  </w:style>
  <w:style w:type="character" w:customStyle="1" w:styleId="EquationsvojeChar">
    <w:name w:val="Equation_svoje Char"/>
    <w:link w:val="Equationsvoje"/>
    <w:rsid w:val="009B1A41"/>
    <w:rPr>
      <w:rFonts w:ascii="Times New Roman" w:eastAsia="Times New Roman" w:hAnsi="Times New Roman" w:cs="Times New Roman"/>
      <w:bCs/>
      <w:noProof/>
      <w:sz w:val="24"/>
      <w:szCs w:val="24"/>
      <w:lang w:val="en-US" w:eastAsia="sl-SI"/>
    </w:rPr>
  </w:style>
  <w:style w:type="paragraph" w:styleId="BalloonText">
    <w:name w:val="Balloon Text"/>
    <w:basedOn w:val="Normal"/>
    <w:link w:val="BalloonTextChar"/>
    <w:rsid w:val="009B1A41"/>
    <w:rPr>
      <w:rFonts w:ascii="Lucida Grande" w:hAnsi="Lucida Grande"/>
      <w:sz w:val="18"/>
      <w:szCs w:val="18"/>
      <w:lang w:val="x-none" w:eastAsia="x-none"/>
    </w:rPr>
  </w:style>
  <w:style w:type="character" w:customStyle="1" w:styleId="BalloonTextChar">
    <w:name w:val="Balloon Text Char"/>
    <w:link w:val="BalloonText"/>
    <w:rsid w:val="009B1A41"/>
    <w:rPr>
      <w:rFonts w:ascii="Lucida Grande" w:eastAsia="Times New Roman" w:hAnsi="Lucida Grande" w:cs="Times New Roman"/>
      <w:sz w:val="18"/>
      <w:szCs w:val="18"/>
      <w:lang w:val="x-none" w:eastAsia="x-none"/>
    </w:rPr>
  </w:style>
  <w:style w:type="character" w:styleId="CommentReference">
    <w:name w:val="annotation reference"/>
    <w:rsid w:val="009B1A41"/>
    <w:rPr>
      <w:sz w:val="18"/>
      <w:szCs w:val="18"/>
    </w:rPr>
  </w:style>
  <w:style w:type="paragraph" w:styleId="CommentText">
    <w:name w:val="annotation text"/>
    <w:basedOn w:val="Normal"/>
    <w:link w:val="CommentTextChar"/>
    <w:rsid w:val="009B1A41"/>
    <w:rPr>
      <w:szCs w:val="24"/>
      <w:lang w:val="x-none" w:eastAsia="x-none"/>
    </w:rPr>
  </w:style>
  <w:style w:type="character" w:customStyle="1" w:styleId="CommentTextChar">
    <w:name w:val="Comment Text Char"/>
    <w:link w:val="CommentText"/>
    <w:rsid w:val="009B1A41"/>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rsid w:val="009B1A41"/>
    <w:rPr>
      <w:b/>
      <w:bCs/>
    </w:rPr>
  </w:style>
  <w:style w:type="character" w:customStyle="1" w:styleId="CommentSubjectChar">
    <w:name w:val="Comment Subject Char"/>
    <w:link w:val="CommentSubject"/>
    <w:rsid w:val="009B1A41"/>
    <w:rPr>
      <w:rFonts w:ascii="Times New Roman" w:eastAsia="Times New Roman" w:hAnsi="Times New Roman" w:cs="Times New Roman"/>
      <w:b/>
      <w:bCs/>
      <w:sz w:val="24"/>
      <w:szCs w:val="24"/>
      <w:lang w:val="x-none" w:eastAsia="x-none"/>
    </w:rPr>
  </w:style>
  <w:style w:type="paragraph" w:customStyle="1" w:styleId="EndNoteBibliographyTitle">
    <w:name w:val="EndNote Bibliography Title"/>
    <w:basedOn w:val="Normal"/>
    <w:link w:val="EndNoteBibliographyTitleChar"/>
    <w:rsid w:val="009B1A41"/>
    <w:pPr>
      <w:jc w:val="center"/>
    </w:pPr>
    <w:rPr>
      <w:noProof/>
      <w:sz w:val="20"/>
    </w:rPr>
  </w:style>
  <w:style w:type="character" w:customStyle="1" w:styleId="StyleBodyTextIndent210ptFirstline0cmRight012cmChar">
    <w:name w:val="Style Body Text Indent 2 + 10 pt First line:  0 cm Right:  012 cm Char"/>
    <w:basedOn w:val="BodyTextIndent2Char"/>
    <w:link w:val="StyleBodyTextIndent210ptFirstline0cmRight012cm"/>
    <w:rsid w:val="009B1A41"/>
    <w:rPr>
      <w:rFonts w:ascii="Times New Roman" w:eastAsia="Times New Roman" w:hAnsi="Times New Roman" w:cs="Times New Roman"/>
      <w:szCs w:val="20"/>
      <w:lang w:val="en-US"/>
    </w:rPr>
  </w:style>
  <w:style w:type="character" w:customStyle="1" w:styleId="EndNoteBibliographyTitleChar">
    <w:name w:val="EndNote Bibliography Title Char"/>
    <w:link w:val="EndNoteBibliographyTitle"/>
    <w:rsid w:val="009B1A41"/>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9B1A41"/>
    <w:pPr>
      <w:jc w:val="both"/>
    </w:pPr>
    <w:rPr>
      <w:noProof/>
      <w:sz w:val="20"/>
    </w:rPr>
  </w:style>
  <w:style w:type="character" w:customStyle="1" w:styleId="EndNoteBibliographyChar">
    <w:name w:val="EndNote Bibliography Char"/>
    <w:link w:val="EndNoteBibliography"/>
    <w:rsid w:val="009B1A41"/>
    <w:rPr>
      <w:rFonts w:ascii="Times New Roman" w:eastAsia="Times New Roman" w:hAnsi="Times New Roman" w:cs="Times New Roman"/>
      <w:noProof/>
      <w:sz w:val="20"/>
      <w:szCs w:val="20"/>
      <w:lang w:val="en-US"/>
    </w:rPr>
  </w:style>
  <w:style w:type="paragraph" w:styleId="Header">
    <w:name w:val="header"/>
    <w:basedOn w:val="Normal"/>
    <w:link w:val="HeaderChar"/>
    <w:rsid w:val="009B1A41"/>
    <w:pPr>
      <w:tabs>
        <w:tab w:val="center" w:pos="4536"/>
        <w:tab w:val="right" w:pos="9072"/>
      </w:tabs>
    </w:pPr>
  </w:style>
  <w:style w:type="character" w:customStyle="1" w:styleId="HeaderChar">
    <w:name w:val="Header Char"/>
    <w:link w:val="Header"/>
    <w:rsid w:val="009B1A41"/>
    <w:rPr>
      <w:rFonts w:ascii="Times New Roman" w:eastAsia="Times New Roman" w:hAnsi="Times New Roman" w:cs="Times New Roman"/>
      <w:sz w:val="24"/>
      <w:szCs w:val="20"/>
      <w:lang w:val="en-US"/>
    </w:rPr>
  </w:style>
  <w:style w:type="paragraph" w:styleId="Revision">
    <w:name w:val="Revision"/>
    <w:hidden/>
    <w:uiPriority w:val="99"/>
    <w:semiHidden/>
    <w:rsid w:val="009B1A41"/>
    <w:pPr>
      <w:spacing w:after="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B1A41"/>
    <w:pPr>
      <w:spacing w:line="288" w:lineRule="auto"/>
      <w:ind w:left="720"/>
      <w:contextualSpacing/>
      <w:jc w:val="both"/>
    </w:pPr>
    <w:rPr>
      <w:rFonts w:eastAsiaTheme="minorHAnsi" w:cstheme="minorBidi"/>
      <w:szCs w:val="22"/>
      <w:lang w:val="sl-SI"/>
    </w:rPr>
  </w:style>
  <w:style w:type="character" w:customStyle="1" w:styleId="vsebinanovice">
    <w:name w:val="vsebinanovice"/>
    <w:basedOn w:val="DefaultParagraphFont"/>
    <w:rsid w:val="009B1A41"/>
  </w:style>
  <w:style w:type="paragraph" w:styleId="ListBullet">
    <w:name w:val="List Bullet"/>
    <w:basedOn w:val="Normal"/>
    <w:uiPriority w:val="99"/>
    <w:unhideWhenUsed/>
    <w:rsid w:val="00FA35D3"/>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EA0B-C64B-45FB-8577-9FB5D0B7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2416</Words>
  <Characters>13775</Characters>
  <Application>Microsoft Office Word</Application>
  <DocSecurity>0</DocSecurity>
  <Lines>114</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Ekonomska fakulteta</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Jože Sambt</dc:creator>
  <cp:lastModifiedBy>Istenič, Tanja</cp:lastModifiedBy>
  <cp:revision>7</cp:revision>
  <dcterms:created xsi:type="dcterms:W3CDTF">2020-09-20T14:23:00Z</dcterms:created>
  <dcterms:modified xsi:type="dcterms:W3CDTF">2020-09-20T14:38:00Z</dcterms:modified>
</cp:coreProperties>
</file>