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E12D2" w14:textId="4EADB864" w:rsidR="00602320" w:rsidRPr="00C00605" w:rsidRDefault="00783250" w:rsidP="00783250">
      <w:pPr>
        <w:jc w:val="center"/>
        <w:rPr>
          <w:rFonts w:ascii="Helvetica" w:hAnsi="Helvetica"/>
          <w:b/>
          <w:sz w:val="36"/>
        </w:rPr>
      </w:pPr>
      <w:r w:rsidRPr="00C00605">
        <w:rPr>
          <w:rFonts w:ascii="Helvetica" w:hAnsi="Helvetica"/>
          <w:b/>
          <w:sz w:val="36"/>
        </w:rPr>
        <w:t xml:space="preserve">Ali </w:t>
      </w:r>
      <w:r w:rsidR="00C90569" w:rsidRPr="00C00605">
        <w:rPr>
          <w:rFonts w:ascii="Helvetica" w:hAnsi="Helvetica"/>
          <w:b/>
          <w:sz w:val="36"/>
        </w:rPr>
        <w:t>(</w:t>
      </w:r>
      <w:r w:rsidRPr="00C00605">
        <w:rPr>
          <w:rFonts w:ascii="Helvetica" w:hAnsi="Helvetica"/>
          <w:b/>
          <w:sz w:val="36"/>
        </w:rPr>
        <w:t xml:space="preserve">s </w:t>
      </w:r>
      <w:proofErr w:type="spellStart"/>
      <w:r w:rsidRPr="00C00605">
        <w:rPr>
          <w:rFonts w:ascii="Helvetica" w:hAnsi="Helvetica"/>
          <w:b/>
          <w:sz w:val="36"/>
        </w:rPr>
        <w:t>priseljevanjem</w:t>
      </w:r>
      <w:proofErr w:type="spellEnd"/>
      <w:r w:rsidRPr="00C00605">
        <w:rPr>
          <w:rFonts w:ascii="Helvetica" w:hAnsi="Helvetica"/>
          <w:b/>
          <w:sz w:val="36"/>
        </w:rPr>
        <w:t xml:space="preserve"> </w:t>
      </w:r>
      <w:proofErr w:type="spellStart"/>
      <w:r w:rsidRPr="00C00605">
        <w:rPr>
          <w:rFonts w:ascii="Helvetica" w:hAnsi="Helvetica"/>
          <w:b/>
          <w:sz w:val="36"/>
        </w:rPr>
        <w:t>povezana</w:t>
      </w:r>
      <w:proofErr w:type="spellEnd"/>
      <w:r w:rsidR="00C90569" w:rsidRPr="00C00605">
        <w:rPr>
          <w:rFonts w:ascii="Helvetica" w:hAnsi="Helvetica"/>
          <w:b/>
          <w:sz w:val="36"/>
        </w:rPr>
        <w:t>)</w:t>
      </w:r>
      <w:r w:rsidRPr="00C00605">
        <w:rPr>
          <w:rFonts w:ascii="Helvetica" w:hAnsi="Helvetica"/>
          <w:b/>
          <w:sz w:val="36"/>
        </w:rPr>
        <w:t xml:space="preserve"> </w:t>
      </w:r>
      <w:proofErr w:type="spellStart"/>
      <w:r w:rsidRPr="00C00605">
        <w:rPr>
          <w:rFonts w:ascii="Helvetica" w:hAnsi="Helvetica"/>
          <w:b/>
          <w:sz w:val="36"/>
        </w:rPr>
        <w:t>gospodarskopolitična</w:t>
      </w:r>
      <w:proofErr w:type="spellEnd"/>
      <w:r w:rsidRPr="00C00605">
        <w:rPr>
          <w:rFonts w:ascii="Helvetica" w:hAnsi="Helvetica"/>
          <w:b/>
          <w:sz w:val="36"/>
        </w:rPr>
        <w:t xml:space="preserve"> </w:t>
      </w:r>
      <w:proofErr w:type="spellStart"/>
      <w:r w:rsidRPr="00C00605">
        <w:rPr>
          <w:rFonts w:ascii="Helvetica" w:hAnsi="Helvetica"/>
          <w:b/>
          <w:sz w:val="36"/>
        </w:rPr>
        <w:t>n</w:t>
      </w:r>
      <w:r>
        <w:rPr>
          <w:rFonts w:ascii="Helvetica" w:hAnsi="Helvetica"/>
          <w:b/>
          <w:sz w:val="36"/>
        </w:rPr>
        <w:t>e</w:t>
      </w:r>
      <w:r w:rsidRPr="00C00605">
        <w:rPr>
          <w:rFonts w:ascii="Helvetica" w:hAnsi="Helvetica"/>
          <w:b/>
          <w:sz w:val="36"/>
        </w:rPr>
        <w:t>gotovost</w:t>
      </w:r>
      <w:proofErr w:type="spellEnd"/>
      <w:r w:rsidRPr="00C00605">
        <w:rPr>
          <w:rFonts w:ascii="Helvetica" w:hAnsi="Helvetica"/>
          <w:b/>
          <w:sz w:val="36"/>
        </w:rPr>
        <w:t xml:space="preserve"> </w:t>
      </w:r>
      <w:proofErr w:type="spellStart"/>
      <w:r w:rsidRPr="00C00605">
        <w:rPr>
          <w:rFonts w:ascii="Helvetica" w:hAnsi="Helvetica"/>
          <w:b/>
          <w:sz w:val="36"/>
        </w:rPr>
        <w:t>vpliva</w:t>
      </w:r>
      <w:proofErr w:type="spellEnd"/>
      <w:r w:rsidRPr="00C00605">
        <w:rPr>
          <w:rFonts w:ascii="Helvetica" w:hAnsi="Helvetica"/>
          <w:b/>
          <w:sz w:val="36"/>
        </w:rPr>
        <w:t xml:space="preserve"> </w:t>
      </w:r>
      <w:proofErr w:type="spellStart"/>
      <w:r w:rsidRPr="00C00605">
        <w:rPr>
          <w:rFonts w:ascii="Helvetica" w:hAnsi="Helvetica"/>
          <w:b/>
          <w:sz w:val="36"/>
        </w:rPr>
        <w:t>na</w:t>
      </w:r>
      <w:proofErr w:type="spellEnd"/>
      <w:r w:rsidRPr="00C00605">
        <w:rPr>
          <w:rFonts w:ascii="Helvetica" w:hAnsi="Helvetica"/>
          <w:b/>
          <w:sz w:val="36"/>
        </w:rPr>
        <w:t xml:space="preserve"> </w:t>
      </w:r>
      <w:proofErr w:type="spellStart"/>
      <w:r w:rsidRPr="00C00605">
        <w:rPr>
          <w:rFonts w:ascii="Helvetica" w:hAnsi="Helvetica"/>
          <w:b/>
          <w:sz w:val="36"/>
        </w:rPr>
        <w:t>industrijsko</w:t>
      </w:r>
      <w:proofErr w:type="spellEnd"/>
      <w:r w:rsidRPr="00C00605">
        <w:rPr>
          <w:rFonts w:ascii="Helvetica" w:hAnsi="Helvetica"/>
          <w:b/>
          <w:sz w:val="36"/>
        </w:rPr>
        <w:t xml:space="preserve"> </w:t>
      </w:r>
      <w:proofErr w:type="spellStart"/>
      <w:r w:rsidRPr="00C00605">
        <w:rPr>
          <w:rFonts w:ascii="Helvetica" w:hAnsi="Helvetica"/>
          <w:b/>
          <w:sz w:val="36"/>
        </w:rPr>
        <w:t>proizvodnjo</w:t>
      </w:r>
      <w:proofErr w:type="spellEnd"/>
      <w:r w:rsidRPr="00C00605">
        <w:rPr>
          <w:rFonts w:ascii="Helvetica" w:hAnsi="Helvetica"/>
          <w:b/>
          <w:sz w:val="36"/>
        </w:rPr>
        <w:t xml:space="preserve"> in </w:t>
      </w:r>
      <w:proofErr w:type="spellStart"/>
      <w:r w:rsidRPr="00C00605">
        <w:rPr>
          <w:rFonts w:ascii="Helvetica" w:hAnsi="Helvetica"/>
          <w:b/>
          <w:sz w:val="36"/>
        </w:rPr>
        <w:t>brezposelnost</w:t>
      </w:r>
      <w:proofErr w:type="spellEnd"/>
      <w:r w:rsidRPr="00C00605">
        <w:rPr>
          <w:rFonts w:ascii="Helvetica" w:hAnsi="Helvetica"/>
          <w:b/>
          <w:sz w:val="36"/>
        </w:rPr>
        <w:t xml:space="preserve"> v </w:t>
      </w:r>
      <w:proofErr w:type="spellStart"/>
      <w:r>
        <w:rPr>
          <w:rFonts w:ascii="Helvetica" w:hAnsi="Helvetica"/>
          <w:b/>
          <w:sz w:val="36"/>
        </w:rPr>
        <w:t>F</w:t>
      </w:r>
      <w:r w:rsidRPr="00C00605">
        <w:rPr>
          <w:rFonts w:ascii="Helvetica" w:hAnsi="Helvetica"/>
          <w:b/>
          <w:sz w:val="36"/>
        </w:rPr>
        <w:t>ranciji</w:t>
      </w:r>
      <w:proofErr w:type="spellEnd"/>
      <w:r w:rsidRPr="00C00605">
        <w:rPr>
          <w:rFonts w:ascii="Helvetica" w:hAnsi="Helvetica"/>
          <w:b/>
          <w:sz w:val="36"/>
        </w:rPr>
        <w:t xml:space="preserve">, </w:t>
      </w:r>
      <w:proofErr w:type="spellStart"/>
      <w:r>
        <w:rPr>
          <w:rFonts w:ascii="Helvetica" w:hAnsi="Helvetica"/>
          <w:b/>
          <w:sz w:val="36"/>
        </w:rPr>
        <w:t>N</w:t>
      </w:r>
      <w:r w:rsidRPr="00C00605">
        <w:rPr>
          <w:rFonts w:ascii="Helvetica" w:hAnsi="Helvetica"/>
          <w:b/>
          <w:sz w:val="36"/>
        </w:rPr>
        <w:t>emčiji</w:t>
      </w:r>
      <w:proofErr w:type="spellEnd"/>
      <w:r w:rsidRPr="00C00605">
        <w:rPr>
          <w:rFonts w:ascii="Helvetica" w:hAnsi="Helvetica"/>
          <w:b/>
          <w:sz w:val="36"/>
        </w:rPr>
        <w:t xml:space="preserve">, </w:t>
      </w:r>
      <w:proofErr w:type="spellStart"/>
      <w:r>
        <w:rPr>
          <w:rFonts w:ascii="Helvetica" w:hAnsi="Helvetica"/>
          <w:b/>
          <w:sz w:val="36"/>
        </w:rPr>
        <w:t>Z</w:t>
      </w:r>
      <w:r w:rsidRPr="00C00605">
        <w:rPr>
          <w:rFonts w:ascii="Helvetica" w:hAnsi="Helvetica"/>
          <w:b/>
          <w:sz w:val="36"/>
        </w:rPr>
        <w:t>druženih</w:t>
      </w:r>
      <w:proofErr w:type="spellEnd"/>
      <w:r w:rsidRPr="00C00605">
        <w:rPr>
          <w:rFonts w:ascii="Helvetica" w:hAnsi="Helvetica"/>
          <w:b/>
          <w:sz w:val="36"/>
        </w:rPr>
        <w:t xml:space="preserve"> </w:t>
      </w:r>
      <w:proofErr w:type="spellStart"/>
      <w:r w:rsidRPr="00C00605">
        <w:rPr>
          <w:rFonts w:ascii="Helvetica" w:hAnsi="Helvetica"/>
          <w:b/>
          <w:sz w:val="36"/>
        </w:rPr>
        <w:t>državah</w:t>
      </w:r>
      <w:proofErr w:type="spellEnd"/>
      <w:r w:rsidRPr="00C00605">
        <w:rPr>
          <w:rFonts w:ascii="Helvetica" w:hAnsi="Helvetica"/>
          <w:b/>
          <w:sz w:val="36"/>
        </w:rPr>
        <w:t xml:space="preserve"> </w:t>
      </w:r>
      <w:proofErr w:type="spellStart"/>
      <w:r>
        <w:rPr>
          <w:rFonts w:ascii="Helvetica" w:hAnsi="Helvetica"/>
          <w:b/>
          <w:sz w:val="36"/>
        </w:rPr>
        <w:t>A</w:t>
      </w:r>
      <w:r w:rsidRPr="00C00605">
        <w:rPr>
          <w:rFonts w:ascii="Helvetica" w:hAnsi="Helvetica"/>
          <w:b/>
          <w:sz w:val="36"/>
        </w:rPr>
        <w:t>merike</w:t>
      </w:r>
      <w:proofErr w:type="spellEnd"/>
      <w:r w:rsidRPr="00C00605">
        <w:rPr>
          <w:rFonts w:ascii="Helvetica" w:hAnsi="Helvetica"/>
          <w:b/>
          <w:sz w:val="36"/>
        </w:rPr>
        <w:t xml:space="preserve"> </w:t>
      </w:r>
      <w:proofErr w:type="spellStart"/>
      <w:r>
        <w:rPr>
          <w:rFonts w:ascii="Helvetica" w:hAnsi="Helvetica"/>
          <w:b/>
          <w:sz w:val="36"/>
        </w:rPr>
        <w:t>ter</w:t>
      </w:r>
      <w:proofErr w:type="spellEnd"/>
      <w:r w:rsidRPr="00C00605">
        <w:rPr>
          <w:rFonts w:ascii="Helvetica" w:hAnsi="Helvetica"/>
          <w:b/>
          <w:sz w:val="36"/>
        </w:rPr>
        <w:t xml:space="preserve"> </w:t>
      </w:r>
      <w:proofErr w:type="spellStart"/>
      <w:r>
        <w:rPr>
          <w:rFonts w:ascii="Helvetica" w:hAnsi="Helvetica"/>
          <w:b/>
          <w:sz w:val="36"/>
        </w:rPr>
        <w:t>Z</w:t>
      </w:r>
      <w:r w:rsidRPr="00C00605">
        <w:rPr>
          <w:rFonts w:ascii="Helvetica" w:hAnsi="Helvetica"/>
          <w:b/>
          <w:sz w:val="36"/>
        </w:rPr>
        <w:t>druženem</w:t>
      </w:r>
      <w:proofErr w:type="spellEnd"/>
      <w:r w:rsidRPr="00C00605">
        <w:rPr>
          <w:rFonts w:ascii="Helvetica" w:hAnsi="Helvetica"/>
          <w:b/>
          <w:sz w:val="36"/>
        </w:rPr>
        <w:t xml:space="preserve"> </w:t>
      </w:r>
      <w:proofErr w:type="spellStart"/>
      <w:r w:rsidRPr="00C00605">
        <w:rPr>
          <w:rFonts w:ascii="Helvetica" w:hAnsi="Helvetica"/>
          <w:b/>
          <w:sz w:val="36"/>
        </w:rPr>
        <w:t>kraljestvu</w:t>
      </w:r>
      <w:proofErr w:type="spellEnd"/>
      <w:r>
        <w:rPr>
          <w:rFonts w:ascii="Helvetica" w:hAnsi="Helvetica"/>
          <w:b/>
          <w:sz w:val="36"/>
        </w:rPr>
        <w:t>?</w:t>
      </w:r>
    </w:p>
    <w:p w14:paraId="3FB4BCA9" w14:textId="2FC762A7" w:rsidR="00602320" w:rsidRPr="002078D7" w:rsidRDefault="003E1B01" w:rsidP="00563B49">
      <w:pPr>
        <w:jc w:val="center"/>
        <w:rPr>
          <w:rFonts w:ascii="Helvetica" w:hAnsi="Helvetica"/>
          <w:b/>
          <w:sz w:val="36"/>
          <w:lang w:val="en-GB"/>
        </w:rPr>
      </w:pPr>
      <w:r w:rsidRPr="002078D7">
        <w:rPr>
          <w:rFonts w:ascii="Helvetica" w:hAnsi="Helvetica"/>
          <w:b/>
          <w:i/>
          <w:sz w:val="36"/>
          <w:lang w:val="en-GB"/>
        </w:rPr>
        <w:t xml:space="preserve">Does (Immigration-Related) Economic Policy Uncertainty Affect Industrial Production </w:t>
      </w:r>
      <w:r>
        <w:rPr>
          <w:rFonts w:ascii="Helvetica" w:hAnsi="Helvetica"/>
          <w:b/>
          <w:i/>
          <w:sz w:val="36"/>
          <w:lang w:val="en-GB"/>
        </w:rPr>
        <w:t>a</w:t>
      </w:r>
      <w:r w:rsidRPr="002078D7">
        <w:rPr>
          <w:rFonts w:ascii="Helvetica" w:hAnsi="Helvetica"/>
          <w:b/>
          <w:i/>
          <w:sz w:val="36"/>
          <w:lang w:val="en-GB"/>
        </w:rPr>
        <w:t xml:space="preserve">nd Unemployment </w:t>
      </w:r>
      <w:r>
        <w:rPr>
          <w:rFonts w:ascii="Helvetica" w:hAnsi="Helvetica"/>
          <w:b/>
          <w:i/>
          <w:sz w:val="36"/>
          <w:lang w:val="en-GB"/>
        </w:rPr>
        <w:t>i</w:t>
      </w:r>
      <w:r w:rsidRPr="002078D7">
        <w:rPr>
          <w:rFonts w:ascii="Helvetica" w:hAnsi="Helvetica"/>
          <w:b/>
          <w:i/>
          <w:sz w:val="36"/>
          <w:lang w:val="en-GB"/>
        </w:rPr>
        <w:t xml:space="preserve">n France, Germany, </w:t>
      </w:r>
      <w:r>
        <w:rPr>
          <w:rFonts w:ascii="Helvetica" w:hAnsi="Helvetica"/>
          <w:b/>
          <w:i/>
          <w:sz w:val="36"/>
          <w:lang w:val="en-GB"/>
        </w:rPr>
        <w:t>t</w:t>
      </w:r>
      <w:r w:rsidRPr="002078D7">
        <w:rPr>
          <w:rFonts w:ascii="Helvetica" w:hAnsi="Helvetica"/>
          <w:b/>
          <w:i/>
          <w:sz w:val="36"/>
          <w:lang w:val="en-GB"/>
        </w:rPr>
        <w:t xml:space="preserve">he United States </w:t>
      </w:r>
      <w:r>
        <w:rPr>
          <w:rFonts w:ascii="Helvetica" w:hAnsi="Helvetica"/>
          <w:b/>
          <w:i/>
          <w:sz w:val="36"/>
          <w:lang w:val="en-GB"/>
        </w:rPr>
        <w:t>a</w:t>
      </w:r>
      <w:r w:rsidRPr="002078D7">
        <w:rPr>
          <w:rFonts w:ascii="Helvetica" w:hAnsi="Helvetica"/>
          <w:b/>
          <w:i/>
          <w:sz w:val="36"/>
          <w:lang w:val="en-GB"/>
        </w:rPr>
        <w:t xml:space="preserve">nd </w:t>
      </w:r>
      <w:r>
        <w:rPr>
          <w:rFonts w:ascii="Helvetica" w:hAnsi="Helvetica"/>
          <w:b/>
          <w:i/>
          <w:sz w:val="36"/>
          <w:lang w:val="en-GB"/>
        </w:rPr>
        <w:t>t</w:t>
      </w:r>
      <w:r w:rsidRPr="002078D7">
        <w:rPr>
          <w:rFonts w:ascii="Helvetica" w:hAnsi="Helvetica"/>
          <w:b/>
          <w:i/>
          <w:sz w:val="36"/>
          <w:lang w:val="en-GB"/>
        </w:rPr>
        <w:t>he United Kingdom</w:t>
      </w:r>
      <w:r w:rsidR="00563B49" w:rsidRPr="002078D7">
        <w:rPr>
          <w:rFonts w:ascii="Helvetica" w:hAnsi="Helvetica"/>
          <w:b/>
          <w:i/>
          <w:sz w:val="36"/>
          <w:lang w:val="en-GB"/>
        </w:rPr>
        <w:t>?</w:t>
      </w:r>
    </w:p>
    <w:p w14:paraId="13B665FB" w14:textId="77777777" w:rsidR="00602320" w:rsidRPr="00C00605" w:rsidRDefault="00602320">
      <w:pPr>
        <w:rPr>
          <w:lang w:val="sl-SI"/>
        </w:rPr>
      </w:pPr>
    </w:p>
    <w:p w14:paraId="577305B4" w14:textId="77777777" w:rsidR="00563B49" w:rsidRPr="00C00605" w:rsidRDefault="00563B49">
      <w:pPr>
        <w:rPr>
          <w:lang w:val="sl-SI"/>
        </w:rPr>
        <w:sectPr w:rsidR="00563B49" w:rsidRPr="00C00605" w:rsidSect="003B4153">
          <w:footerReference w:type="even" r:id="rId8"/>
          <w:pgSz w:w="12240" w:h="15840" w:code="1"/>
          <w:pgMar w:top="1080" w:right="1080" w:bottom="1440" w:left="1080" w:header="720" w:footer="720" w:gutter="0"/>
          <w:cols w:space="720"/>
        </w:sectPr>
      </w:pPr>
    </w:p>
    <w:p w14:paraId="72AEBB14" w14:textId="77777777" w:rsidR="008B197E" w:rsidRPr="00C00605" w:rsidRDefault="00602320">
      <w:pPr>
        <w:pStyle w:val="Author"/>
        <w:spacing w:after="0"/>
        <w:rPr>
          <w:spacing w:val="-2"/>
          <w:lang w:val="sl-SI"/>
        </w:rPr>
      </w:pPr>
      <w:r w:rsidRPr="00C00605">
        <w:rPr>
          <w:spacing w:val="-2"/>
          <w:lang w:val="sl-SI"/>
        </w:rPr>
        <w:t xml:space="preserve">Pred. mag. </w:t>
      </w:r>
      <w:r w:rsidR="00B57A60" w:rsidRPr="00C00605">
        <w:rPr>
          <w:spacing w:val="-2"/>
          <w:lang w:val="sl-SI"/>
        </w:rPr>
        <w:t>Dejan Romih</w:t>
      </w:r>
    </w:p>
    <w:p w14:paraId="344BF5A9" w14:textId="77777777" w:rsidR="00C36DAD" w:rsidRPr="00C00605" w:rsidRDefault="00B57A60">
      <w:pPr>
        <w:pStyle w:val="Affiliations"/>
        <w:rPr>
          <w:spacing w:val="-2"/>
          <w:lang w:val="sl-SI"/>
        </w:rPr>
      </w:pPr>
      <w:r w:rsidRPr="00C00605">
        <w:rPr>
          <w:spacing w:val="-2"/>
          <w:lang w:val="sl-SI"/>
        </w:rPr>
        <w:t>Univerza v Mariboru</w:t>
      </w:r>
    </w:p>
    <w:p w14:paraId="611C36EC"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02 90</w:t>
      </w:r>
    </w:p>
    <w:p w14:paraId="1273F678" w14:textId="77777777" w:rsidR="008B197E" w:rsidRPr="00C00605" w:rsidRDefault="00B57A60">
      <w:pPr>
        <w:pStyle w:val="E-Mail"/>
        <w:rPr>
          <w:spacing w:val="-2"/>
          <w:lang w:val="sl-SI"/>
        </w:rPr>
      </w:pPr>
      <w:r w:rsidRPr="00C00605">
        <w:rPr>
          <w:spacing w:val="-2"/>
          <w:lang w:val="sl-SI"/>
        </w:rPr>
        <w:t>dejan.romih@um.si</w:t>
      </w:r>
    </w:p>
    <w:p w14:paraId="05C3214E" w14:textId="77777777" w:rsidR="008B197E" w:rsidRPr="00C00605" w:rsidRDefault="00B57A60">
      <w:pPr>
        <w:pStyle w:val="Author"/>
        <w:spacing w:after="0"/>
        <w:rPr>
          <w:spacing w:val="-2"/>
          <w:lang w:val="sl-SI"/>
        </w:rPr>
      </w:pPr>
      <w:r w:rsidRPr="00C00605">
        <w:rPr>
          <w:spacing w:val="-2"/>
          <w:lang w:val="sl-SI"/>
        </w:rPr>
        <w:br w:type="column"/>
      </w:r>
      <w:r w:rsidR="00602320" w:rsidRPr="00C00605">
        <w:rPr>
          <w:spacing w:val="-2"/>
          <w:lang w:val="sl-SI"/>
        </w:rPr>
        <w:t xml:space="preserve">Izr. prof. dr. </w:t>
      </w:r>
      <w:r w:rsidRPr="00C00605">
        <w:rPr>
          <w:spacing w:val="-2"/>
          <w:lang w:val="sl-SI"/>
        </w:rPr>
        <w:t>Alenka Kavkler</w:t>
      </w:r>
    </w:p>
    <w:p w14:paraId="29E15A4B" w14:textId="77777777" w:rsidR="00C36DAD" w:rsidRPr="00C00605" w:rsidRDefault="00B57A60">
      <w:pPr>
        <w:pStyle w:val="Affiliations"/>
        <w:rPr>
          <w:spacing w:val="-2"/>
          <w:lang w:val="sl-SI"/>
        </w:rPr>
      </w:pPr>
      <w:r w:rsidRPr="00C00605">
        <w:rPr>
          <w:spacing w:val="-2"/>
          <w:lang w:val="sl-SI"/>
        </w:rPr>
        <w:t>Univerza v Mariboru</w:t>
      </w:r>
    </w:p>
    <w:p w14:paraId="4551C87C"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03 16</w:t>
      </w:r>
    </w:p>
    <w:p w14:paraId="6D8523B2" w14:textId="77777777" w:rsidR="008B197E" w:rsidRPr="00C00605" w:rsidRDefault="00B57A60">
      <w:pPr>
        <w:pStyle w:val="E-Mail"/>
        <w:rPr>
          <w:spacing w:val="-2"/>
          <w:lang w:val="sl-SI"/>
        </w:rPr>
      </w:pPr>
      <w:r w:rsidRPr="00C00605">
        <w:rPr>
          <w:spacing w:val="-2"/>
          <w:lang w:val="sl-SI"/>
        </w:rPr>
        <w:t>alenka.kavkler@um.si</w:t>
      </w:r>
    </w:p>
    <w:p w14:paraId="27B75E06" w14:textId="77777777" w:rsidR="008B197E" w:rsidRPr="00C00605" w:rsidRDefault="00B57A60">
      <w:pPr>
        <w:pStyle w:val="Author"/>
        <w:spacing w:after="0"/>
        <w:rPr>
          <w:spacing w:val="-2"/>
          <w:lang w:val="sl-SI"/>
        </w:rPr>
      </w:pPr>
      <w:r w:rsidRPr="00C00605">
        <w:rPr>
          <w:spacing w:val="-2"/>
          <w:lang w:val="sl-SI"/>
        </w:rPr>
        <w:br w:type="column"/>
      </w:r>
      <w:r w:rsidR="00602320" w:rsidRPr="00C00605">
        <w:rPr>
          <w:spacing w:val="-2"/>
          <w:lang w:val="sl-SI"/>
        </w:rPr>
        <w:t xml:space="preserve">Izr. prof. dr. </w:t>
      </w:r>
      <w:r w:rsidRPr="00C00605">
        <w:rPr>
          <w:spacing w:val="-2"/>
          <w:lang w:val="sl-SI"/>
        </w:rPr>
        <w:t xml:space="preserve">Silvo </w:t>
      </w:r>
      <w:proofErr w:type="spellStart"/>
      <w:r w:rsidRPr="00C00605">
        <w:rPr>
          <w:spacing w:val="-2"/>
          <w:lang w:val="sl-SI"/>
        </w:rPr>
        <w:t>Dajčman</w:t>
      </w:r>
      <w:proofErr w:type="spellEnd"/>
    </w:p>
    <w:p w14:paraId="409ED77C" w14:textId="77777777" w:rsidR="00C36DAD" w:rsidRPr="00C00605" w:rsidRDefault="00B57A60">
      <w:pPr>
        <w:pStyle w:val="Affiliations"/>
        <w:rPr>
          <w:spacing w:val="-2"/>
          <w:lang w:val="sl-SI"/>
        </w:rPr>
      </w:pPr>
      <w:r w:rsidRPr="00C00605">
        <w:rPr>
          <w:spacing w:val="-2"/>
          <w:lang w:val="sl-SI"/>
        </w:rPr>
        <w:t>Univerza v Mariboru</w:t>
      </w:r>
    </w:p>
    <w:p w14:paraId="28BD7894" w14:textId="77777777" w:rsidR="008B197E" w:rsidRPr="00C00605" w:rsidRDefault="00C36DAD">
      <w:pPr>
        <w:pStyle w:val="Affiliations"/>
        <w:rPr>
          <w:spacing w:val="-2"/>
          <w:lang w:val="sl-SI"/>
        </w:rPr>
      </w:pPr>
      <w:r w:rsidRPr="00C00605">
        <w:rPr>
          <w:spacing w:val="-2"/>
          <w:lang w:val="sl-SI"/>
        </w:rPr>
        <w:t>Ekonomsko-poslovna fakulteta</w:t>
      </w:r>
      <w:r w:rsidR="008B197E" w:rsidRPr="00C00605">
        <w:rPr>
          <w:spacing w:val="-2"/>
          <w:lang w:val="sl-SI"/>
        </w:rPr>
        <w:br/>
      </w:r>
      <w:r w:rsidR="00B57A60" w:rsidRPr="00C00605">
        <w:rPr>
          <w:spacing w:val="-2"/>
          <w:lang w:val="sl-SI"/>
        </w:rPr>
        <w:t xml:space="preserve">Razlagova ulica 14, </w:t>
      </w:r>
      <w:r w:rsidRPr="00C00605">
        <w:rPr>
          <w:spacing w:val="-2"/>
          <w:lang w:val="sl-SI"/>
        </w:rPr>
        <w:t>SI-</w:t>
      </w:r>
      <w:r w:rsidR="00B57A60" w:rsidRPr="00C00605">
        <w:rPr>
          <w:spacing w:val="-2"/>
          <w:lang w:val="sl-SI"/>
        </w:rPr>
        <w:t>2000 Maribor</w:t>
      </w:r>
      <w:r w:rsidR="008B197E" w:rsidRPr="00C00605">
        <w:rPr>
          <w:spacing w:val="-2"/>
          <w:lang w:val="sl-SI"/>
        </w:rPr>
        <w:br/>
      </w:r>
      <w:r w:rsidR="00B57A60" w:rsidRPr="00C00605">
        <w:rPr>
          <w:lang w:val="sl-SI"/>
        </w:rPr>
        <w:t>+386 (0)2 229 02 75</w:t>
      </w:r>
    </w:p>
    <w:p w14:paraId="07C79904" w14:textId="77777777" w:rsidR="008B197E" w:rsidRPr="00C00605" w:rsidRDefault="00B57A60">
      <w:pPr>
        <w:pStyle w:val="E-Mail"/>
        <w:rPr>
          <w:spacing w:val="-2"/>
          <w:lang w:val="sl-SI"/>
        </w:rPr>
      </w:pPr>
      <w:r w:rsidRPr="00C00605">
        <w:rPr>
          <w:spacing w:val="-2"/>
          <w:lang w:val="sl-SI"/>
        </w:rPr>
        <w:t>silvo.dajcman@um.si</w:t>
      </w:r>
    </w:p>
    <w:p w14:paraId="05D6E633" w14:textId="77777777" w:rsidR="008B197E" w:rsidRPr="00C00605" w:rsidRDefault="008B197E">
      <w:pPr>
        <w:pStyle w:val="E-Mail"/>
        <w:rPr>
          <w:lang w:val="sl-SI"/>
        </w:rPr>
      </w:pPr>
    </w:p>
    <w:p w14:paraId="2049DFC9" w14:textId="77777777" w:rsidR="008B197E" w:rsidRPr="00C00605" w:rsidRDefault="008B197E">
      <w:pPr>
        <w:jc w:val="center"/>
        <w:rPr>
          <w:lang w:val="sl-SI"/>
        </w:rPr>
        <w:sectPr w:rsidR="008B197E" w:rsidRPr="00C00605" w:rsidSect="003B4153">
          <w:type w:val="continuous"/>
          <w:pgSz w:w="12240" w:h="15840" w:code="1"/>
          <w:pgMar w:top="1080" w:right="1080" w:bottom="1440" w:left="1080" w:header="720" w:footer="720" w:gutter="0"/>
          <w:cols w:num="3" w:space="0"/>
        </w:sectPr>
      </w:pPr>
    </w:p>
    <w:p w14:paraId="4D1AF0C5" w14:textId="77777777" w:rsidR="00BE783E" w:rsidRPr="00B34381" w:rsidRDefault="00BE783E" w:rsidP="00BE783E">
      <w:pPr>
        <w:spacing w:after="0"/>
        <w:rPr>
          <w:b/>
          <w:szCs w:val="18"/>
          <w:lang w:val="sl-SI"/>
        </w:rPr>
      </w:pPr>
      <w:r w:rsidRPr="00B34381">
        <w:rPr>
          <w:b/>
          <w:szCs w:val="18"/>
          <w:lang w:val="sl-SI"/>
        </w:rPr>
        <w:t>POVZETEK</w:t>
      </w:r>
    </w:p>
    <w:p w14:paraId="1D938BBD" w14:textId="0877DD49" w:rsidR="00496589" w:rsidRPr="00B34381" w:rsidRDefault="00496589" w:rsidP="00190FF5">
      <w:pPr>
        <w:spacing w:after="8"/>
        <w:rPr>
          <w:szCs w:val="18"/>
          <w:lang w:val="sl-SI"/>
        </w:rPr>
      </w:pPr>
      <w:r w:rsidRPr="00B34381">
        <w:rPr>
          <w:szCs w:val="18"/>
          <w:lang w:val="sl-SI"/>
        </w:rPr>
        <w:t xml:space="preserve">V tem prispevku proučujemo vpliv </w:t>
      </w:r>
      <w:bookmarkStart w:id="0" w:name="_Hlk18951325"/>
      <w:r w:rsidR="00C90569" w:rsidRPr="00B34381">
        <w:rPr>
          <w:szCs w:val="18"/>
          <w:lang w:val="sl-SI"/>
        </w:rPr>
        <w:t>(</w:t>
      </w:r>
      <w:r w:rsidRPr="00B34381">
        <w:rPr>
          <w:szCs w:val="18"/>
          <w:lang w:val="sl-SI"/>
        </w:rPr>
        <w:t>s priseljevanjem povezane</w:t>
      </w:r>
      <w:bookmarkEnd w:id="0"/>
      <w:r w:rsidR="00C90569" w:rsidRPr="00B34381">
        <w:rPr>
          <w:szCs w:val="18"/>
          <w:lang w:val="sl-SI"/>
        </w:rPr>
        <w:t>)</w:t>
      </w:r>
      <w:r w:rsidRPr="00B34381">
        <w:rPr>
          <w:szCs w:val="18"/>
          <w:lang w:val="sl-SI"/>
        </w:rPr>
        <w:t xml:space="preserve"> gospodarskopolitične negotovosti na industrijsko proizvodnjo </w:t>
      </w:r>
      <w:r w:rsidR="00E979B1" w:rsidRPr="00B34381">
        <w:rPr>
          <w:szCs w:val="18"/>
          <w:lang w:val="sl-SI"/>
        </w:rPr>
        <w:t xml:space="preserve">in brezposelnost </w:t>
      </w:r>
      <w:r w:rsidRPr="00B34381">
        <w:rPr>
          <w:szCs w:val="18"/>
          <w:lang w:val="sl-SI"/>
        </w:rPr>
        <w:t xml:space="preserve">v Franciji, Nemčiji, Združenih državah Amerike </w:t>
      </w:r>
      <w:r w:rsidR="00191712">
        <w:rPr>
          <w:szCs w:val="18"/>
          <w:lang w:val="sl-SI"/>
        </w:rPr>
        <w:t>ter</w:t>
      </w:r>
      <w:r w:rsidRPr="00B34381">
        <w:rPr>
          <w:szCs w:val="18"/>
          <w:lang w:val="sl-SI"/>
        </w:rPr>
        <w:t xml:space="preserve"> Združenem kraljestvu.</w:t>
      </w:r>
      <w:r w:rsidR="00E979B1" w:rsidRPr="00B34381">
        <w:rPr>
          <w:szCs w:val="18"/>
          <w:lang w:val="sl-SI"/>
        </w:rPr>
        <w:t xml:space="preserve"> Ugotovili smo, da šok gospodarskopolitične negotovosti zmanjša industrijsko proizvodnjo in poveča brezposelnost v vseh državah</w:t>
      </w:r>
      <w:r w:rsidR="00D14C2E" w:rsidRPr="00B34381">
        <w:rPr>
          <w:szCs w:val="18"/>
          <w:lang w:val="sl-SI"/>
        </w:rPr>
        <w:t>,</w:t>
      </w:r>
      <w:r w:rsidR="00E979B1" w:rsidRPr="00B34381">
        <w:rPr>
          <w:szCs w:val="18"/>
          <w:lang w:val="sl-SI"/>
        </w:rPr>
        <w:t xml:space="preserve"> razen v Nemčiji. Ugotovili smo tudi, da šok s priseljevanjem povezane gospodarskopolitične negotovosti zmanjša industrijsko proizvodnjo v Franciji, v Nemčiji pa jo poveča. Te ugotovitve kažejo potrebo po preprečevanju (s priseljevanjem povezane</w:t>
      </w:r>
      <w:r w:rsidR="00043376" w:rsidRPr="00B34381">
        <w:rPr>
          <w:szCs w:val="18"/>
          <w:lang w:val="sl-SI"/>
        </w:rPr>
        <w:t>)</w:t>
      </w:r>
      <w:r w:rsidR="00E979B1" w:rsidRPr="00B34381">
        <w:rPr>
          <w:szCs w:val="18"/>
          <w:lang w:val="sl-SI"/>
        </w:rPr>
        <w:t xml:space="preserve"> gospodarskopolitične negotovosti.</w:t>
      </w:r>
    </w:p>
    <w:p w14:paraId="406480CA" w14:textId="77777777" w:rsidR="00BE783E" w:rsidRPr="00B34381" w:rsidRDefault="00BE783E" w:rsidP="00504444">
      <w:pPr>
        <w:spacing w:before="120" w:after="0"/>
        <w:rPr>
          <w:b/>
          <w:szCs w:val="18"/>
          <w:lang w:val="sl-SI"/>
        </w:rPr>
      </w:pPr>
      <w:r w:rsidRPr="00B34381">
        <w:rPr>
          <w:b/>
          <w:szCs w:val="18"/>
          <w:lang w:val="sl-SI"/>
        </w:rPr>
        <w:t>Ključne besede</w:t>
      </w:r>
    </w:p>
    <w:p w14:paraId="6AADA8E3" w14:textId="77777777" w:rsidR="00496589" w:rsidRPr="00B34381" w:rsidRDefault="00496589" w:rsidP="00190FF5">
      <w:pPr>
        <w:spacing w:after="8"/>
        <w:rPr>
          <w:szCs w:val="18"/>
          <w:lang w:val="sl-SI"/>
        </w:rPr>
      </w:pPr>
      <w:r w:rsidRPr="00B34381">
        <w:rPr>
          <w:szCs w:val="18"/>
          <w:lang w:val="sl-SI"/>
        </w:rPr>
        <w:t>(s priseljevanjem povezana) gospodarskopolitična negotovost, brezposelnost, industrijska proizvodnja, Francija, Nemčija, Združene države Amerike, Združeno kraljestvo</w:t>
      </w:r>
    </w:p>
    <w:p w14:paraId="2334EEB3" w14:textId="77777777" w:rsidR="00504444" w:rsidRPr="00B34381" w:rsidRDefault="00504444">
      <w:pPr>
        <w:spacing w:after="0"/>
        <w:rPr>
          <w:kern w:val="28"/>
          <w:szCs w:val="18"/>
          <w:lang w:val="sl-SI"/>
        </w:rPr>
      </w:pPr>
    </w:p>
    <w:p w14:paraId="40B60186" w14:textId="5460319B" w:rsidR="008B197E" w:rsidRPr="00B34381" w:rsidRDefault="008B197E">
      <w:pPr>
        <w:spacing w:after="0"/>
        <w:rPr>
          <w:b/>
          <w:szCs w:val="18"/>
        </w:rPr>
      </w:pPr>
      <w:r w:rsidRPr="00B34381">
        <w:rPr>
          <w:b/>
          <w:szCs w:val="18"/>
        </w:rPr>
        <w:t>ABSTRACT</w:t>
      </w:r>
    </w:p>
    <w:p w14:paraId="095BF5D5" w14:textId="26B2E7EE" w:rsidR="00043376" w:rsidRPr="00B34381" w:rsidRDefault="00043376">
      <w:pPr>
        <w:spacing w:after="0"/>
        <w:rPr>
          <w:szCs w:val="18"/>
        </w:rPr>
      </w:pPr>
      <w:r w:rsidRPr="00B34381">
        <w:rPr>
          <w:szCs w:val="18"/>
        </w:rPr>
        <w:t xml:space="preserve">This paper examines the impact of (immigration-related) economic policy uncertainty on industrial production and unemployment in France, Germany, the United States and the United Kingdom. We have found that the economic policy uncertainty </w:t>
      </w:r>
      <w:r w:rsidR="00845CF0" w:rsidRPr="00B34381">
        <w:rPr>
          <w:szCs w:val="18"/>
        </w:rPr>
        <w:t xml:space="preserve">shock </w:t>
      </w:r>
      <w:r w:rsidRPr="00B34381">
        <w:rPr>
          <w:szCs w:val="18"/>
        </w:rPr>
        <w:t xml:space="preserve">reduces industrial production and increases unemployment in all countries except Germany. We have also found that the immigration-related economic policy uncertainty </w:t>
      </w:r>
      <w:r w:rsidR="00276B9B" w:rsidRPr="00B34381">
        <w:rPr>
          <w:szCs w:val="18"/>
        </w:rPr>
        <w:t>shock</w:t>
      </w:r>
      <w:r w:rsidR="00845CF0" w:rsidRPr="00B34381">
        <w:rPr>
          <w:szCs w:val="18"/>
        </w:rPr>
        <w:t xml:space="preserve"> </w:t>
      </w:r>
      <w:r w:rsidRPr="00B34381">
        <w:rPr>
          <w:szCs w:val="18"/>
        </w:rPr>
        <w:t>reduces industrial production in France and increases it in Germany. These findings indicate the need to prevent (immigration-related) economic policy uncertainty.</w:t>
      </w:r>
    </w:p>
    <w:p w14:paraId="216549DF" w14:textId="77777777" w:rsidR="008B197E" w:rsidRPr="00B34381" w:rsidRDefault="008B197E">
      <w:pPr>
        <w:spacing w:before="120" w:after="0"/>
        <w:rPr>
          <w:b/>
          <w:szCs w:val="18"/>
        </w:rPr>
      </w:pPr>
      <w:r w:rsidRPr="00B34381">
        <w:rPr>
          <w:b/>
          <w:szCs w:val="18"/>
        </w:rPr>
        <w:t>Keywords</w:t>
      </w:r>
    </w:p>
    <w:p w14:paraId="45CFC1D5" w14:textId="77777777" w:rsidR="00D92D86" w:rsidRPr="00B34381" w:rsidRDefault="00D92D86" w:rsidP="00190FF5">
      <w:pPr>
        <w:spacing w:after="8"/>
        <w:rPr>
          <w:szCs w:val="18"/>
          <w:lang w:val="en-GB"/>
        </w:rPr>
      </w:pPr>
      <w:r w:rsidRPr="00B34381">
        <w:rPr>
          <w:szCs w:val="18"/>
          <w:lang w:val="en-GB"/>
        </w:rPr>
        <w:t>(immigration-related) economic policy uncertainty, unemployment, industrial production, France, Germany, United States, United Kingdom</w:t>
      </w:r>
    </w:p>
    <w:p w14:paraId="4E4BEFB4" w14:textId="77777777" w:rsidR="008B197E" w:rsidRPr="00B34381" w:rsidRDefault="000277C3">
      <w:pPr>
        <w:pStyle w:val="Heading1"/>
        <w:spacing w:before="120"/>
        <w:rPr>
          <w:sz w:val="18"/>
          <w:szCs w:val="18"/>
          <w:lang w:val="sl-SI"/>
        </w:rPr>
      </w:pPr>
      <w:r w:rsidRPr="00B34381">
        <w:rPr>
          <w:sz w:val="18"/>
          <w:szCs w:val="18"/>
          <w:lang w:val="sl-SI"/>
        </w:rPr>
        <w:t>UVOD</w:t>
      </w:r>
    </w:p>
    <w:p w14:paraId="5237B8BC" w14:textId="0B737193" w:rsidR="00275053" w:rsidRPr="00B34381" w:rsidRDefault="008C2F0D" w:rsidP="006E1438">
      <w:pPr>
        <w:rPr>
          <w:szCs w:val="18"/>
          <w:lang w:val="sl-SI"/>
        </w:rPr>
      </w:pPr>
      <w:r w:rsidRPr="00B34381">
        <w:rPr>
          <w:szCs w:val="18"/>
          <w:lang w:val="sl-SI"/>
        </w:rPr>
        <w:t xml:space="preserve">Preseljevanje je normalen pojav, ki ga ni mogoče </w:t>
      </w:r>
      <w:r w:rsidR="002078D7" w:rsidRPr="00B34381">
        <w:rPr>
          <w:szCs w:val="18"/>
          <w:lang w:val="sl-SI"/>
        </w:rPr>
        <w:t xml:space="preserve">popolnoma </w:t>
      </w:r>
      <w:r w:rsidRPr="00B34381">
        <w:rPr>
          <w:szCs w:val="18"/>
          <w:lang w:val="sl-SI"/>
        </w:rPr>
        <w:t xml:space="preserve">preprečiti. Evropska in srednjeameriška begunska kriza sta povečali zanimanje ekonomistov in oblikovalcev politike za s priseljevanjem povezano gospodarskopolitično negotovost (angl. </w:t>
      </w:r>
      <w:r w:rsidRPr="00B34381">
        <w:rPr>
          <w:i/>
          <w:iCs/>
          <w:szCs w:val="18"/>
          <w:lang w:val="en-GB"/>
        </w:rPr>
        <w:t>immigration-related economic policy uncertainty</w:t>
      </w:r>
      <w:r w:rsidRPr="00B34381">
        <w:rPr>
          <w:szCs w:val="18"/>
          <w:lang w:val="sl-SI"/>
        </w:rPr>
        <w:t xml:space="preserve">) ter povzročili potrebo po njenem stalnem spremljanju. V ta namen so S. R. Baker, N. Bloom </w:t>
      </w:r>
      <w:r w:rsidRPr="00B34381">
        <w:rPr>
          <w:szCs w:val="18"/>
          <w:lang w:val="sl-SI"/>
        </w:rPr>
        <w:t xml:space="preserve">in S. J. Davis </w:t>
      </w:r>
      <w:r w:rsidR="00E7233B" w:rsidRPr="00B34381">
        <w:rPr>
          <w:szCs w:val="18"/>
          <w:lang w:val="sl-SI"/>
        </w:rPr>
        <w:t>[1]</w:t>
      </w:r>
      <w:r w:rsidR="006E1438" w:rsidRPr="00B34381">
        <w:rPr>
          <w:szCs w:val="18"/>
          <w:lang w:val="sl-SI"/>
        </w:rPr>
        <w:t xml:space="preserve"> </w:t>
      </w:r>
      <w:r w:rsidRPr="00B34381">
        <w:rPr>
          <w:szCs w:val="18"/>
          <w:lang w:val="sl-SI"/>
        </w:rPr>
        <w:t xml:space="preserve">razvili časopisne indekse s priseljevanjem povezane gospodarskopolitične negotovosti (angl. </w:t>
      </w:r>
      <w:r w:rsidRPr="00B34381">
        <w:rPr>
          <w:i/>
          <w:iCs/>
          <w:szCs w:val="18"/>
          <w:lang w:val="en-GB"/>
        </w:rPr>
        <w:t>newspaper-based indices of immigration-related economic policy uncertainty</w:t>
      </w:r>
      <w:r w:rsidRPr="00B34381">
        <w:rPr>
          <w:szCs w:val="18"/>
          <w:lang w:val="sl-SI"/>
        </w:rPr>
        <w:t>) za Francijo, Nemčijo, ZDA in Združeno kraljestvo, ki spadajo med države priseljevanja</w:t>
      </w:r>
      <w:r w:rsidR="00275053" w:rsidRPr="00B34381">
        <w:rPr>
          <w:szCs w:val="18"/>
          <w:lang w:val="sl-SI"/>
        </w:rPr>
        <w:t xml:space="preserve"> (gl. sliko 1).</w:t>
      </w:r>
    </w:p>
    <w:p w14:paraId="3EB6F72A" w14:textId="4B3C7BCF" w:rsidR="00275053" w:rsidRPr="00B34381" w:rsidRDefault="005A66C8" w:rsidP="003A3DD0">
      <w:pPr>
        <w:keepNext/>
        <w:keepLines/>
        <w:widowControl w:val="0"/>
        <w:rPr>
          <w:szCs w:val="18"/>
          <w:lang w:val="en-GB"/>
        </w:rPr>
      </w:pPr>
      <w:r w:rsidRPr="00B34381">
        <w:rPr>
          <w:noProof/>
          <w:szCs w:val="18"/>
          <w:lang w:val="sl-SI" w:eastAsia="sl-SI"/>
        </w:rPr>
        <w:drawing>
          <wp:inline distT="0" distB="0" distL="0" distR="0" wp14:anchorId="6A669F1F" wp14:editId="035B401B">
            <wp:extent cx="3049270" cy="221869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mra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9270" cy="2218690"/>
                    </a:xfrm>
                    <a:prstGeom prst="rect">
                      <a:avLst/>
                    </a:prstGeom>
                  </pic:spPr>
                </pic:pic>
              </a:graphicData>
            </a:graphic>
          </wp:inline>
        </w:drawing>
      </w:r>
    </w:p>
    <w:p w14:paraId="0C34CB32" w14:textId="2A0BD395" w:rsidR="00275053" w:rsidRPr="00B34381" w:rsidRDefault="00275053" w:rsidP="003A3DD0">
      <w:pPr>
        <w:keepNext/>
        <w:keepLines/>
        <w:widowControl w:val="0"/>
        <w:spacing w:after="0"/>
        <w:jc w:val="center"/>
        <w:rPr>
          <w:b/>
          <w:bCs/>
          <w:szCs w:val="18"/>
          <w:lang w:val="sl-SI"/>
        </w:rPr>
      </w:pPr>
      <w:r w:rsidRPr="00B34381">
        <w:rPr>
          <w:b/>
          <w:bCs/>
          <w:szCs w:val="18"/>
          <w:lang w:val="sl-SI"/>
        </w:rPr>
        <w:t xml:space="preserve">Slika 1: </w:t>
      </w:r>
      <w:r w:rsidR="00C10E0B" w:rsidRPr="00B34381">
        <w:rPr>
          <w:b/>
          <w:bCs/>
          <w:szCs w:val="18"/>
          <w:lang w:val="sl-SI"/>
        </w:rPr>
        <w:t>Stopnja neto preseljevanja (2015–2020)</w:t>
      </w:r>
    </w:p>
    <w:p w14:paraId="6063F4D6" w14:textId="77777777" w:rsidR="004129BE" w:rsidRPr="00B34381" w:rsidRDefault="004129BE" w:rsidP="003A3DD0">
      <w:pPr>
        <w:keepNext/>
        <w:keepLines/>
        <w:widowControl w:val="0"/>
        <w:spacing w:after="0"/>
        <w:jc w:val="center"/>
        <w:rPr>
          <w:szCs w:val="18"/>
          <w:lang w:val="sl-SI"/>
        </w:rPr>
      </w:pPr>
      <w:r w:rsidRPr="00B34381">
        <w:rPr>
          <w:szCs w:val="18"/>
          <w:lang w:val="sl-SI"/>
        </w:rPr>
        <w:t>Opomba: FR = Francija, DE = Nemčija, UK = Združeno kraljestvo, US = ZDA.</w:t>
      </w:r>
      <w:r w:rsidRPr="00B34381" w:rsidDel="004129BE">
        <w:rPr>
          <w:szCs w:val="18"/>
          <w:lang w:val="sl-SI"/>
        </w:rPr>
        <w:t xml:space="preserve"> </w:t>
      </w:r>
    </w:p>
    <w:p w14:paraId="75B48E01" w14:textId="1038B022" w:rsidR="004129BE" w:rsidRPr="00B34381" w:rsidRDefault="00275053" w:rsidP="004129BE">
      <w:pPr>
        <w:spacing w:after="8"/>
        <w:jc w:val="center"/>
        <w:rPr>
          <w:szCs w:val="18"/>
          <w:lang w:val="sl-SI"/>
        </w:rPr>
      </w:pPr>
      <w:r w:rsidRPr="00B34381">
        <w:rPr>
          <w:szCs w:val="18"/>
          <w:lang w:val="sl-SI"/>
        </w:rPr>
        <w:t>Vir podatkov:</w:t>
      </w:r>
      <w:r w:rsidR="004339D3" w:rsidRPr="00B34381">
        <w:rPr>
          <w:szCs w:val="18"/>
          <w:lang w:val="sl-SI"/>
        </w:rPr>
        <w:t xml:space="preserve"> </w:t>
      </w:r>
      <w:r w:rsidR="00E7233B" w:rsidRPr="00B34381">
        <w:rPr>
          <w:szCs w:val="18"/>
          <w:lang w:val="en-GB"/>
        </w:rPr>
        <w:t>[2].</w:t>
      </w:r>
    </w:p>
    <w:p w14:paraId="2AB8BB85" w14:textId="77777777" w:rsidR="004129BE" w:rsidRPr="00B34381" w:rsidRDefault="004129BE" w:rsidP="005F2ADB">
      <w:pPr>
        <w:spacing w:after="8"/>
        <w:jc w:val="center"/>
        <w:rPr>
          <w:szCs w:val="18"/>
          <w:lang w:val="sl-SI"/>
        </w:rPr>
      </w:pPr>
    </w:p>
    <w:p w14:paraId="0BFE9A3D" w14:textId="77777777" w:rsidR="0019051A" w:rsidRPr="00B34381" w:rsidRDefault="008C2F0D" w:rsidP="006E1438">
      <w:pPr>
        <w:rPr>
          <w:szCs w:val="18"/>
          <w:lang w:val="sl-SI"/>
        </w:rPr>
      </w:pPr>
      <w:r w:rsidRPr="00B34381">
        <w:rPr>
          <w:szCs w:val="18"/>
          <w:lang w:val="sl-SI"/>
        </w:rPr>
        <w:t xml:space="preserve">Slike </w:t>
      </w:r>
      <w:r w:rsidR="00275053" w:rsidRPr="00B34381">
        <w:rPr>
          <w:szCs w:val="18"/>
          <w:lang w:val="sl-SI"/>
        </w:rPr>
        <w:t>2</w:t>
      </w:r>
      <w:r w:rsidR="006E1438" w:rsidRPr="00B34381">
        <w:rPr>
          <w:szCs w:val="18"/>
          <w:lang w:val="sl-SI"/>
        </w:rPr>
        <w:t>–</w:t>
      </w:r>
      <w:r w:rsidR="00275053" w:rsidRPr="00B34381">
        <w:rPr>
          <w:szCs w:val="18"/>
          <w:lang w:val="sl-SI"/>
        </w:rPr>
        <w:t>5</w:t>
      </w:r>
      <w:r w:rsidRPr="00B34381">
        <w:rPr>
          <w:szCs w:val="18"/>
          <w:lang w:val="sl-SI"/>
        </w:rPr>
        <w:t xml:space="preserve"> kažejo gibanje indeksov s priseljevanjem povezane gospodarskopolitične negotovosti za Francijo</w:t>
      </w:r>
      <w:r w:rsidR="00F779F3" w:rsidRPr="00B34381">
        <w:rPr>
          <w:szCs w:val="18"/>
          <w:lang w:val="sl-SI"/>
        </w:rPr>
        <w:t xml:space="preserve"> (</w:t>
      </w:r>
      <w:proofErr w:type="spellStart"/>
      <w:r w:rsidR="00F779F3" w:rsidRPr="00B34381">
        <w:rPr>
          <w:szCs w:val="18"/>
          <w:lang w:val="sl-SI"/>
        </w:rPr>
        <w:t>mepufr</w:t>
      </w:r>
      <w:proofErr w:type="spellEnd"/>
      <w:r w:rsidR="00F779F3" w:rsidRPr="00B34381">
        <w:rPr>
          <w:szCs w:val="18"/>
          <w:lang w:val="sl-SI"/>
        </w:rPr>
        <w:t>)</w:t>
      </w:r>
      <w:r w:rsidRPr="00B34381">
        <w:rPr>
          <w:szCs w:val="18"/>
          <w:lang w:val="sl-SI"/>
        </w:rPr>
        <w:t>, Nemčijo</w:t>
      </w:r>
      <w:r w:rsidR="00F779F3" w:rsidRPr="00B34381">
        <w:rPr>
          <w:szCs w:val="18"/>
          <w:lang w:val="sl-SI"/>
        </w:rPr>
        <w:t xml:space="preserve"> (</w:t>
      </w:r>
      <w:proofErr w:type="spellStart"/>
      <w:r w:rsidR="00F779F3" w:rsidRPr="00B34381">
        <w:rPr>
          <w:szCs w:val="18"/>
          <w:lang w:val="sl-SI"/>
        </w:rPr>
        <w:t>mepude</w:t>
      </w:r>
      <w:proofErr w:type="spellEnd"/>
      <w:r w:rsidR="00F779F3" w:rsidRPr="00B34381">
        <w:rPr>
          <w:szCs w:val="18"/>
          <w:lang w:val="sl-SI"/>
        </w:rPr>
        <w:t>)</w:t>
      </w:r>
      <w:r w:rsidRPr="00B34381">
        <w:rPr>
          <w:szCs w:val="18"/>
          <w:lang w:val="sl-SI"/>
        </w:rPr>
        <w:t>, ZDA</w:t>
      </w:r>
      <w:r w:rsidR="00F779F3" w:rsidRPr="00B34381">
        <w:rPr>
          <w:szCs w:val="18"/>
          <w:lang w:val="sl-SI"/>
        </w:rPr>
        <w:t xml:space="preserve"> (</w:t>
      </w:r>
      <w:proofErr w:type="spellStart"/>
      <w:r w:rsidR="00F779F3" w:rsidRPr="00B34381">
        <w:rPr>
          <w:szCs w:val="18"/>
          <w:lang w:val="sl-SI"/>
        </w:rPr>
        <w:t>mepuus</w:t>
      </w:r>
      <w:proofErr w:type="spellEnd"/>
      <w:r w:rsidR="00F779F3" w:rsidRPr="00B34381">
        <w:rPr>
          <w:szCs w:val="18"/>
          <w:lang w:val="sl-SI"/>
        </w:rPr>
        <w:t>)</w:t>
      </w:r>
      <w:r w:rsidRPr="00B34381">
        <w:rPr>
          <w:szCs w:val="18"/>
          <w:lang w:val="sl-SI"/>
        </w:rPr>
        <w:t xml:space="preserve"> in Združeno kraljestvo</w:t>
      </w:r>
      <w:r w:rsidR="00F779F3" w:rsidRPr="00B34381">
        <w:rPr>
          <w:szCs w:val="18"/>
          <w:lang w:val="sl-SI"/>
        </w:rPr>
        <w:t xml:space="preserve"> (</w:t>
      </w:r>
      <w:proofErr w:type="spellStart"/>
      <w:r w:rsidR="00F779F3" w:rsidRPr="00B34381">
        <w:rPr>
          <w:szCs w:val="18"/>
          <w:lang w:val="sl-SI"/>
        </w:rPr>
        <w:t>mepuuk</w:t>
      </w:r>
      <w:proofErr w:type="spellEnd"/>
      <w:r w:rsidR="00F779F3" w:rsidRPr="00B34381">
        <w:rPr>
          <w:szCs w:val="18"/>
          <w:lang w:val="sl-SI"/>
        </w:rPr>
        <w:t>)</w:t>
      </w:r>
      <w:r w:rsidRPr="00B34381">
        <w:rPr>
          <w:szCs w:val="18"/>
          <w:lang w:val="sl-SI"/>
        </w:rPr>
        <w:t>, tabela 1 pa korelacijo med njimi.</w:t>
      </w:r>
      <w:r w:rsidR="0014564D" w:rsidRPr="00B34381">
        <w:rPr>
          <w:szCs w:val="18"/>
          <w:lang w:val="sl-SI"/>
        </w:rPr>
        <w:t xml:space="preserve"> Podatki kažejo, da je s priseljevanjem povezana gospodarskopolitična negotovost v teh državah dosegla višek v času evropske in srednjeameriške begunske krize</w:t>
      </w:r>
      <w:r w:rsidR="007F7C34" w:rsidRPr="00B34381">
        <w:rPr>
          <w:szCs w:val="18"/>
          <w:lang w:val="sl-SI"/>
        </w:rPr>
        <w:t>.</w:t>
      </w:r>
    </w:p>
    <w:p w14:paraId="416FBD20" w14:textId="77777777" w:rsidR="00EC1FB1" w:rsidRPr="00B34381" w:rsidRDefault="00EC1FB1" w:rsidP="002D25BC">
      <w:pPr>
        <w:spacing w:after="0"/>
        <w:jc w:val="center"/>
        <w:rPr>
          <w:b/>
          <w:bCs/>
          <w:szCs w:val="18"/>
          <w:lang w:val="sl-SI"/>
        </w:rPr>
      </w:pPr>
    </w:p>
    <w:p w14:paraId="76B7397B" w14:textId="77777777" w:rsidR="002D25BC" w:rsidRPr="00B34381" w:rsidRDefault="00720295" w:rsidP="00C90569">
      <w:pPr>
        <w:keepNext/>
        <w:keepLines/>
        <w:widowControl w:val="0"/>
        <w:spacing w:after="0"/>
        <w:jc w:val="center"/>
        <w:rPr>
          <w:b/>
          <w:bCs/>
          <w:szCs w:val="18"/>
          <w:lang w:val="sl-SI"/>
        </w:rPr>
      </w:pPr>
      <w:r w:rsidRPr="00B34381">
        <w:rPr>
          <w:b/>
          <w:bCs/>
          <w:noProof/>
          <w:szCs w:val="18"/>
          <w:lang w:val="sl-SI" w:eastAsia="sl-SI"/>
        </w:rPr>
        <w:lastRenderedPageBreak/>
        <w:drawing>
          <wp:inline distT="0" distB="0" distL="0" distR="0" wp14:anchorId="2DA038FF" wp14:editId="76B76447">
            <wp:extent cx="3042920" cy="2216785"/>
            <wp:effectExtent l="0" t="0" r="0" b="0"/>
            <wp:docPr id="2" name="Slika 2" descr="mepu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u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r w:rsidR="002D25BC" w:rsidRPr="00B34381">
        <w:rPr>
          <w:b/>
          <w:bCs/>
          <w:szCs w:val="18"/>
          <w:lang w:val="sl-SI"/>
        </w:rPr>
        <w:t xml:space="preserve">Slika </w:t>
      </w:r>
      <w:r w:rsidR="00275053" w:rsidRPr="00B34381">
        <w:rPr>
          <w:b/>
          <w:bCs/>
          <w:szCs w:val="18"/>
          <w:lang w:val="sl-SI"/>
        </w:rPr>
        <w:t>2</w:t>
      </w:r>
      <w:r w:rsidR="002D25BC" w:rsidRPr="00B34381">
        <w:rPr>
          <w:b/>
          <w:bCs/>
          <w:szCs w:val="18"/>
          <w:lang w:val="sl-SI"/>
        </w:rPr>
        <w:t xml:space="preserve">: Gibanje indeksa </w:t>
      </w:r>
      <w:r w:rsidR="00541B99" w:rsidRPr="00B34381">
        <w:rPr>
          <w:b/>
          <w:bCs/>
          <w:szCs w:val="18"/>
          <w:lang w:val="sl-SI"/>
        </w:rPr>
        <w:t xml:space="preserve">s priseljevanjem povezane </w:t>
      </w:r>
      <w:r w:rsidR="002D25BC" w:rsidRPr="00B34381">
        <w:rPr>
          <w:b/>
          <w:bCs/>
          <w:szCs w:val="18"/>
          <w:lang w:val="sl-SI"/>
        </w:rPr>
        <w:t>gospodarskopolitične negotovosti za Francijo (od prvega četrtletja 1991 do zadnjega četrtletja 2018)</w:t>
      </w:r>
    </w:p>
    <w:p w14:paraId="5879C31A" w14:textId="3F6794E2" w:rsidR="00783250" w:rsidRDefault="002D25BC" w:rsidP="00783250">
      <w:pPr>
        <w:keepLines/>
        <w:widowControl w:val="0"/>
        <w:spacing w:after="0"/>
        <w:jc w:val="center"/>
        <w:rPr>
          <w:b/>
          <w:bCs/>
          <w:szCs w:val="18"/>
          <w:lang w:val="sl-SI"/>
        </w:rPr>
      </w:pPr>
      <w:r w:rsidRPr="00B34381">
        <w:rPr>
          <w:szCs w:val="18"/>
          <w:lang w:val="sl-SI"/>
        </w:rPr>
        <w:t xml:space="preserve">Vir podatkov: </w:t>
      </w:r>
      <w:hyperlink r:id="rId11" w:history="1">
        <w:r w:rsidRPr="00B34381">
          <w:rPr>
            <w:rStyle w:val="Hyperlink"/>
            <w:lang w:val="sl-SI"/>
          </w:rPr>
          <w:t>http://www.policyuncertainty.com/</w:t>
        </w:r>
      </w:hyperlink>
      <w:r w:rsidRPr="00B34381">
        <w:rPr>
          <w:szCs w:val="18"/>
          <w:lang w:val="sl-SI"/>
        </w:rPr>
        <w:t>.</w:t>
      </w:r>
    </w:p>
    <w:p w14:paraId="14AB29F3" w14:textId="2A213EFA" w:rsidR="00783250" w:rsidRDefault="00720295" w:rsidP="00783250">
      <w:pPr>
        <w:keepLines/>
        <w:widowControl w:val="0"/>
        <w:spacing w:after="0"/>
        <w:jc w:val="center"/>
        <w:rPr>
          <w:b/>
          <w:bCs/>
          <w:szCs w:val="18"/>
          <w:lang w:val="sl-SI"/>
        </w:rPr>
      </w:pPr>
      <w:r w:rsidRPr="00B34381">
        <w:rPr>
          <w:noProof/>
          <w:szCs w:val="18"/>
          <w:lang w:val="sl-SI" w:eastAsia="sl-SI"/>
        </w:rPr>
        <w:drawing>
          <wp:inline distT="0" distB="0" distL="0" distR="0" wp14:anchorId="748EE93B" wp14:editId="29967CF0">
            <wp:extent cx="3042920" cy="2216785"/>
            <wp:effectExtent l="0" t="0" r="0" b="0"/>
            <wp:docPr id="3" name="Slika 3" descr="mep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pu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r w:rsidR="002D25BC" w:rsidRPr="00B34381">
        <w:rPr>
          <w:b/>
          <w:bCs/>
          <w:szCs w:val="18"/>
          <w:lang w:val="sl-SI"/>
        </w:rPr>
        <w:t xml:space="preserve">Slika </w:t>
      </w:r>
      <w:r w:rsidR="00275053" w:rsidRPr="00B34381">
        <w:rPr>
          <w:b/>
          <w:bCs/>
          <w:szCs w:val="18"/>
          <w:lang w:val="sl-SI"/>
        </w:rPr>
        <w:t>3</w:t>
      </w:r>
      <w:r w:rsidR="002D25BC" w:rsidRPr="00B34381">
        <w:rPr>
          <w:b/>
          <w:bCs/>
          <w:szCs w:val="18"/>
          <w:lang w:val="sl-SI"/>
        </w:rPr>
        <w:t xml:space="preserve">: Gibanje indeksa </w:t>
      </w:r>
      <w:r w:rsidR="00541B99" w:rsidRPr="00B34381">
        <w:rPr>
          <w:b/>
          <w:bCs/>
          <w:szCs w:val="18"/>
          <w:lang w:val="sl-SI"/>
        </w:rPr>
        <w:t xml:space="preserve">s priseljevanjem povezane </w:t>
      </w:r>
      <w:r w:rsidR="002D25BC" w:rsidRPr="00B34381">
        <w:rPr>
          <w:b/>
          <w:bCs/>
          <w:szCs w:val="18"/>
          <w:lang w:val="sl-SI"/>
        </w:rPr>
        <w:t>gospodarskopolitične negotovosti za Nemčijo (od prvega četrtletja 1991 do zadnjega četrtletja 2018)</w:t>
      </w:r>
    </w:p>
    <w:p w14:paraId="3D294C90" w14:textId="523EA4D2" w:rsidR="00EC1FB1" w:rsidRDefault="002D25BC" w:rsidP="00783250">
      <w:pPr>
        <w:keepLines/>
        <w:widowControl w:val="0"/>
        <w:spacing w:after="0"/>
        <w:jc w:val="center"/>
        <w:rPr>
          <w:szCs w:val="18"/>
          <w:lang w:val="sl-SI"/>
        </w:rPr>
      </w:pPr>
      <w:r w:rsidRPr="00B34381">
        <w:rPr>
          <w:szCs w:val="18"/>
          <w:lang w:val="sl-SI"/>
        </w:rPr>
        <w:t xml:space="preserve">Vir podatkov: </w:t>
      </w:r>
      <w:hyperlink r:id="rId13" w:history="1">
        <w:r w:rsidRPr="00B34381">
          <w:rPr>
            <w:rStyle w:val="Hyperlink"/>
            <w:lang w:val="sl-SI"/>
          </w:rPr>
          <w:t>http://www.policyuncertainty.com/</w:t>
        </w:r>
      </w:hyperlink>
      <w:r w:rsidRPr="00B34381">
        <w:rPr>
          <w:szCs w:val="18"/>
          <w:lang w:val="sl-SI"/>
        </w:rPr>
        <w:t>.</w:t>
      </w:r>
    </w:p>
    <w:p w14:paraId="4845E71A" w14:textId="77777777" w:rsidR="00783250" w:rsidRPr="00B34381" w:rsidRDefault="00783250" w:rsidP="00783250">
      <w:pPr>
        <w:keepLines/>
        <w:widowControl w:val="0"/>
        <w:spacing w:after="0"/>
        <w:jc w:val="center"/>
        <w:rPr>
          <w:szCs w:val="18"/>
          <w:lang w:val="sl-SI"/>
        </w:rPr>
      </w:pPr>
    </w:p>
    <w:p w14:paraId="746B092D" w14:textId="77777777" w:rsidR="000E7660" w:rsidRPr="00B34381" w:rsidRDefault="00720295" w:rsidP="00987938">
      <w:pPr>
        <w:keepNext/>
        <w:keepLines/>
        <w:widowControl w:val="0"/>
        <w:spacing w:after="0"/>
        <w:rPr>
          <w:szCs w:val="18"/>
          <w:lang w:val="sl-SI"/>
        </w:rPr>
      </w:pPr>
      <w:r w:rsidRPr="00B34381">
        <w:rPr>
          <w:noProof/>
          <w:szCs w:val="18"/>
          <w:lang w:val="sl-SI" w:eastAsia="sl-SI"/>
        </w:rPr>
        <w:drawing>
          <wp:inline distT="0" distB="0" distL="0" distR="0" wp14:anchorId="0D43CA73" wp14:editId="7CBA4749">
            <wp:extent cx="3042920" cy="2216785"/>
            <wp:effectExtent l="0" t="0" r="0" b="0"/>
            <wp:docPr id="4" name="Slika 4" descr="mep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u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494BED85" w14:textId="77777777" w:rsidR="000E7660" w:rsidRPr="00B34381" w:rsidRDefault="000E7660" w:rsidP="00987938">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4</w:t>
      </w:r>
      <w:r w:rsidRPr="00B34381">
        <w:rPr>
          <w:b/>
          <w:bCs/>
          <w:szCs w:val="18"/>
          <w:lang w:val="sl-SI"/>
        </w:rPr>
        <w:t xml:space="preserve">: Gibanje indeksa </w:t>
      </w:r>
      <w:r w:rsidR="00541B99" w:rsidRPr="00B34381">
        <w:rPr>
          <w:b/>
          <w:bCs/>
          <w:szCs w:val="18"/>
          <w:lang w:val="sl-SI"/>
        </w:rPr>
        <w:t xml:space="preserve">s priseljevanjem povezane </w:t>
      </w:r>
      <w:r w:rsidRPr="00B34381">
        <w:rPr>
          <w:b/>
          <w:bCs/>
          <w:szCs w:val="18"/>
          <w:lang w:val="sl-SI"/>
        </w:rPr>
        <w:t>gospodarskopolitične negotovosti za ZDA (od prvega četrtletja 1991 do zadnjega četrtletja 2018)</w:t>
      </w:r>
    </w:p>
    <w:p w14:paraId="00E3EFFF" w14:textId="3CBFAFFB" w:rsidR="000E7660" w:rsidRDefault="000E7660" w:rsidP="00C90569">
      <w:pPr>
        <w:keepLines/>
        <w:widowControl w:val="0"/>
        <w:spacing w:after="0"/>
        <w:jc w:val="center"/>
        <w:rPr>
          <w:szCs w:val="18"/>
          <w:lang w:val="sl-SI"/>
        </w:rPr>
      </w:pPr>
      <w:r w:rsidRPr="00B34381">
        <w:rPr>
          <w:szCs w:val="18"/>
          <w:lang w:val="sl-SI"/>
        </w:rPr>
        <w:t xml:space="preserve">Vir podatkov: </w:t>
      </w:r>
      <w:hyperlink r:id="rId15" w:history="1">
        <w:r w:rsidRPr="00B34381">
          <w:rPr>
            <w:rStyle w:val="Hyperlink"/>
            <w:lang w:val="sl-SI"/>
          </w:rPr>
          <w:t>http://www.policyuncertainty.com/</w:t>
        </w:r>
      </w:hyperlink>
      <w:r w:rsidRPr="00B34381">
        <w:rPr>
          <w:szCs w:val="18"/>
          <w:lang w:val="sl-SI"/>
        </w:rPr>
        <w:t>.</w:t>
      </w:r>
    </w:p>
    <w:p w14:paraId="20CEFA5D" w14:textId="77777777" w:rsidR="00783250" w:rsidRPr="00B34381" w:rsidRDefault="00783250" w:rsidP="00C90569">
      <w:pPr>
        <w:keepLines/>
        <w:widowControl w:val="0"/>
        <w:spacing w:after="0"/>
        <w:jc w:val="center"/>
        <w:rPr>
          <w:szCs w:val="18"/>
          <w:lang w:val="sl-SI"/>
        </w:rPr>
      </w:pPr>
    </w:p>
    <w:p w14:paraId="5548C3A2" w14:textId="77777777" w:rsidR="000E7660" w:rsidRPr="00B34381" w:rsidRDefault="00720295" w:rsidP="00EF67ED">
      <w:pPr>
        <w:keepNext/>
        <w:keepLines/>
        <w:widowControl w:val="0"/>
        <w:spacing w:after="0"/>
        <w:rPr>
          <w:szCs w:val="18"/>
          <w:lang w:val="sl-SI"/>
        </w:rPr>
      </w:pPr>
      <w:r w:rsidRPr="00B34381">
        <w:rPr>
          <w:noProof/>
          <w:szCs w:val="18"/>
          <w:lang w:val="sl-SI" w:eastAsia="sl-SI"/>
        </w:rPr>
        <w:drawing>
          <wp:inline distT="0" distB="0" distL="0" distR="0" wp14:anchorId="114DAD7D" wp14:editId="6C055286">
            <wp:extent cx="3042920" cy="2216785"/>
            <wp:effectExtent l="0" t="0" r="0" b="0"/>
            <wp:docPr id="5" name="Slika 5" descr="mepu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puu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385F4FE" w14:textId="77777777" w:rsidR="00541B99" w:rsidRPr="00B34381" w:rsidRDefault="00541B99" w:rsidP="00EF67ED">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5</w:t>
      </w:r>
      <w:r w:rsidRPr="00B34381">
        <w:rPr>
          <w:b/>
          <w:bCs/>
          <w:szCs w:val="18"/>
          <w:lang w:val="sl-SI"/>
        </w:rPr>
        <w:t>: Gibanje indeksa s priseljevanjem povezane gospodarskopolitične negotovosti za Združeno kraljestvo (od prvega četrtletja 1991 do zadnjega četrtletja 2018)</w:t>
      </w:r>
    </w:p>
    <w:p w14:paraId="251497A1" w14:textId="77777777" w:rsidR="00541B99" w:rsidRPr="00B34381" w:rsidRDefault="00541B99" w:rsidP="00EF67ED">
      <w:pPr>
        <w:keepNext/>
        <w:keepLines/>
        <w:widowControl w:val="0"/>
        <w:spacing w:after="0"/>
        <w:jc w:val="center"/>
        <w:rPr>
          <w:szCs w:val="18"/>
          <w:lang w:val="sl-SI"/>
        </w:rPr>
      </w:pPr>
      <w:r w:rsidRPr="00B34381">
        <w:rPr>
          <w:szCs w:val="18"/>
          <w:lang w:val="sl-SI"/>
        </w:rPr>
        <w:t xml:space="preserve">Vir podatkov: </w:t>
      </w:r>
      <w:hyperlink r:id="rId17" w:history="1">
        <w:r w:rsidRPr="00B34381">
          <w:rPr>
            <w:rStyle w:val="Hyperlink"/>
            <w:lang w:val="sl-SI"/>
          </w:rPr>
          <w:t>http://www.policyuncertainty.com/</w:t>
        </w:r>
      </w:hyperlink>
      <w:r w:rsidRPr="00B34381">
        <w:rPr>
          <w:szCs w:val="18"/>
          <w:lang w:val="sl-SI"/>
        </w:rPr>
        <w:t>.</w:t>
      </w:r>
    </w:p>
    <w:p w14:paraId="2209CFC9" w14:textId="77777777" w:rsidR="00541B99" w:rsidRPr="00B34381" w:rsidRDefault="00541B99" w:rsidP="00EF67ED">
      <w:pPr>
        <w:spacing w:after="0"/>
        <w:rPr>
          <w:szCs w:val="18"/>
          <w:lang w:val="sl-SI"/>
        </w:rPr>
      </w:pPr>
    </w:p>
    <w:p w14:paraId="6D7512C1" w14:textId="77777777" w:rsidR="00EF67ED" w:rsidRPr="00B34381" w:rsidRDefault="00EF67ED" w:rsidP="003A3DD0">
      <w:pPr>
        <w:keepNext/>
        <w:keepLines/>
        <w:widowControl w:val="0"/>
        <w:rPr>
          <w:b/>
          <w:bCs/>
          <w:szCs w:val="18"/>
          <w:lang w:val="sl-SI"/>
        </w:rPr>
      </w:pPr>
      <w:r w:rsidRPr="00B34381">
        <w:rPr>
          <w:b/>
          <w:bCs/>
          <w:szCs w:val="18"/>
          <w:lang w:val="sl-SI"/>
        </w:rPr>
        <w:t>Tabela 1: Korelacija med indeksi s priseljevanjem povezane gospodarskopolitične negotovosti za Francijo, Nemčijo, ZDA in Združeno kraljestvo</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1"/>
        <w:gridCol w:w="960"/>
        <w:gridCol w:w="960"/>
        <w:gridCol w:w="961"/>
        <w:gridCol w:w="960"/>
      </w:tblGrid>
      <w:tr w:rsidR="00EF67ED" w:rsidRPr="00B34381" w14:paraId="7C394849" w14:textId="77777777" w:rsidTr="00FA313D">
        <w:tc>
          <w:tcPr>
            <w:tcW w:w="988" w:type="dxa"/>
            <w:tcBorders>
              <w:top w:val="double" w:sz="4" w:space="0" w:color="auto"/>
              <w:bottom w:val="single" w:sz="4" w:space="0" w:color="auto"/>
            </w:tcBorders>
            <w:shd w:val="clear" w:color="auto" w:fill="auto"/>
          </w:tcPr>
          <w:p w14:paraId="3F5D73EB" w14:textId="77777777" w:rsidR="00EF67ED" w:rsidRPr="00B34381" w:rsidRDefault="00EF67ED" w:rsidP="003A3DD0">
            <w:pPr>
              <w:keepNext/>
              <w:keepLines/>
              <w:widowControl w:val="0"/>
              <w:spacing w:after="0"/>
              <w:jc w:val="center"/>
              <w:rPr>
                <w:szCs w:val="18"/>
                <w:lang w:val="sl-SI"/>
              </w:rPr>
            </w:pPr>
          </w:p>
        </w:tc>
        <w:tc>
          <w:tcPr>
            <w:tcW w:w="988" w:type="dxa"/>
            <w:tcBorders>
              <w:top w:val="double" w:sz="4" w:space="0" w:color="auto"/>
              <w:bottom w:val="single" w:sz="4" w:space="0" w:color="auto"/>
            </w:tcBorders>
            <w:shd w:val="clear" w:color="auto" w:fill="auto"/>
          </w:tcPr>
          <w:p w14:paraId="7F34D74F" w14:textId="77777777" w:rsidR="00EF67ED" w:rsidRPr="00B34381" w:rsidRDefault="00EF67ED" w:rsidP="003A3DD0">
            <w:pPr>
              <w:keepNext/>
              <w:keepLines/>
              <w:widowControl w:val="0"/>
              <w:spacing w:after="0"/>
              <w:jc w:val="center"/>
              <w:rPr>
                <w:szCs w:val="18"/>
                <w:lang w:val="sl-SI"/>
              </w:rPr>
            </w:pPr>
            <w:proofErr w:type="spellStart"/>
            <w:r w:rsidRPr="00B34381">
              <w:rPr>
                <w:szCs w:val="18"/>
                <w:lang w:val="sl-SI"/>
              </w:rPr>
              <w:t>mepufr</w:t>
            </w:r>
            <w:proofErr w:type="spellEnd"/>
          </w:p>
        </w:tc>
        <w:tc>
          <w:tcPr>
            <w:tcW w:w="988" w:type="dxa"/>
            <w:tcBorders>
              <w:top w:val="double" w:sz="4" w:space="0" w:color="auto"/>
              <w:bottom w:val="single" w:sz="4" w:space="0" w:color="auto"/>
            </w:tcBorders>
            <w:shd w:val="clear" w:color="auto" w:fill="auto"/>
          </w:tcPr>
          <w:p w14:paraId="2934E2D8" w14:textId="77777777" w:rsidR="00EF67ED" w:rsidRPr="00B34381" w:rsidRDefault="00EF67ED" w:rsidP="003A3DD0">
            <w:pPr>
              <w:keepNext/>
              <w:keepLines/>
              <w:widowControl w:val="0"/>
              <w:spacing w:after="0"/>
              <w:jc w:val="center"/>
              <w:rPr>
                <w:szCs w:val="18"/>
                <w:lang w:val="sl-SI"/>
              </w:rPr>
            </w:pPr>
            <w:proofErr w:type="spellStart"/>
            <w:r w:rsidRPr="00B34381">
              <w:rPr>
                <w:szCs w:val="18"/>
                <w:lang w:val="sl-SI"/>
              </w:rPr>
              <w:t>mepude</w:t>
            </w:r>
            <w:proofErr w:type="spellEnd"/>
          </w:p>
        </w:tc>
        <w:tc>
          <w:tcPr>
            <w:tcW w:w="989" w:type="dxa"/>
            <w:tcBorders>
              <w:top w:val="double" w:sz="4" w:space="0" w:color="auto"/>
              <w:bottom w:val="single" w:sz="4" w:space="0" w:color="auto"/>
            </w:tcBorders>
            <w:shd w:val="clear" w:color="auto" w:fill="auto"/>
          </w:tcPr>
          <w:p w14:paraId="6CEF36BB" w14:textId="77777777" w:rsidR="00EF67ED" w:rsidRPr="00B34381" w:rsidRDefault="00EF67ED" w:rsidP="003A3DD0">
            <w:pPr>
              <w:keepNext/>
              <w:keepLines/>
              <w:widowControl w:val="0"/>
              <w:spacing w:after="0"/>
              <w:jc w:val="center"/>
              <w:rPr>
                <w:szCs w:val="18"/>
                <w:lang w:val="sl-SI"/>
              </w:rPr>
            </w:pPr>
            <w:proofErr w:type="spellStart"/>
            <w:r w:rsidRPr="00B34381">
              <w:rPr>
                <w:szCs w:val="18"/>
                <w:lang w:val="sl-SI"/>
              </w:rPr>
              <w:t>mepuus</w:t>
            </w:r>
            <w:proofErr w:type="spellEnd"/>
          </w:p>
        </w:tc>
        <w:tc>
          <w:tcPr>
            <w:tcW w:w="989" w:type="dxa"/>
            <w:tcBorders>
              <w:top w:val="double" w:sz="4" w:space="0" w:color="auto"/>
              <w:bottom w:val="single" w:sz="4" w:space="0" w:color="auto"/>
            </w:tcBorders>
            <w:shd w:val="clear" w:color="auto" w:fill="auto"/>
          </w:tcPr>
          <w:p w14:paraId="3013A1F7" w14:textId="77777777" w:rsidR="00EF67ED" w:rsidRPr="00B34381" w:rsidRDefault="00EF67ED" w:rsidP="003A3DD0">
            <w:pPr>
              <w:keepNext/>
              <w:keepLines/>
              <w:widowControl w:val="0"/>
              <w:spacing w:after="0"/>
              <w:jc w:val="center"/>
              <w:rPr>
                <w:szCs w:val="18"/>
                <w:lang w:val="sl-SI"/>
              </w:rPr>
            </w:pPr>
            <w:proofErr w:type="spellStart"/>
            <w:r w:rsidRPr="00B34381">
              <w:rPr>
                <w:szCs w:val="18"/>
                <w:lang w:val="sl-SI"/>
              </w:rPr>
              <w:t>mepuuk</w:t>
            </w:r>
            <w:proofErr w:type="spellEnd"/>
          </w:p>
        </w:tc>
      </w:tr>
      <w:tr w:rsidR="00EF67ED" w:rsidRPr="00B34381" w14:paraId="0A5AE981" w14:textId="77777777" w:rsidTr="00FA313D">
        <w:tc>
          <w:tcPr>
            <w:tcW w:w="988" w:type="dxa"/>
            <w:tcBorders>
              <w:bottom w:val="nil"/>
            </w:tcBorders>
            <w:shd w:val="clear" w:color="auto" w:fill="auto"/>
          </w:tcPr>
          <w:p w14:paraId="3C970444" w14:textId="77777777" w:rsidR="00EF67ED" w:rsidRPr="00B34381" w:rsidRDefault="00EF67ED" w:rsidP="003A3DD0">
            <w:pPr>
              <w:keepNext/>
              <w:keepLines/>
              <w:widowControl w:val="0"/>
              <w:spacing w:after="0"/>
              <w:rPr>
                <w:szCs w:val="18"/>
                <w:lang w:val="sl-SI"/>
              </w:rPr>
            </w:pPr>
            <w:proofErr w:type="spellStart"/>
            <w:r w:rsidRPr="00B34381">
              <w:rPr>
                <w:szCs w:val="18"/>
                <w:lang w:val="sl-SI"/>
              </w:rPr>
              <w:t>mepufr</w:t>
            </w:r>
            <w:proofErr w:type="spellEnd"/>
          </w:p>
        </w:tc>
        <w:tc>
          <w:tcPr>
            <w:tcW w:w="988" w:type="dxa"/>
            <w:tcBorders>
              <w:bottom w:val="nil"/>
            </w:tcBorders>
            <w:shd w:val="clear" w:color="auto" w:fill="auto"/>
          </w:tcPr>
          <w:p w14:paraId="088B8657"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8" w:type="dxa"/>
            <w:tcBorders>
              <w:bottom w:val="nil"/>
            </w:tcBorders>
            <w:shd w:val="clear" w:color="auto" w:fill="auto"/>
          </w:tcPr>
          <w:p w14:paraId="6BAD5EB7" w14:textId="77777777" w:rsidR="00EF67ED" w:rsidRPr="00B34381" w:rsidRDefault="00EF67ED" w:rsidP="003A3DD0">
            <w:pPr>
              <w:keepNext/>
              <w:keepLines/>
              <w:widowControl w:val="0"/>
              <w:spacing w:after="0"/>
              <w:jc w:val="right"/>
              <w:rPr>
                <w:szCs w:val="18"/>
                <w:lang w:val="sl-SI"/>
              </w:rPr>
            </w:pPr>
          </w:p>
        </w:tc>
        <w:tc>
          <w:tcPr>
            <w:tcW w:w="989" w:type="dxa"/>
            <w:tcBorders>
              <w:bottom w:val="nil"/>
            </w:tcBorders>
            <w:shd w:val="clear" w:color="auto" w:fill="auto"/>
          </w:tcPr>
          <w:p w14:paraId="75178BA3" w14:textId="77777777" w:rsidR="00EF67ED" w:rsidRPr="00B34381" w:rsidRDefault="00EF67ED" w:rsidP="003A3DD0">
            <w:pPr>
              <w:keepNext/>
              <w:keepLines/>
              <w:widowControl w:val="0"/>
              <w:spacing w:after="0"/>
              <w:jc w:val="right"/>
              <w:rPr>
                <w:szCs w:val="18"/>
                <w:lang w:val="sl-SI"/>
              </w:rPr>
            </w:pPr>
          </w:p>
        </w:tc>
        <w:tc>
          <w:tcPr>
            <w:tcW w:w="989" w:type="dxa"/>
            <w:tcBorders>
              <w:bottom w:val="nil"/>
            </w:tcBorders>
            <w:shd w:val="clear" w:color="auto" w:fill="auto"/>
          </w:tcPr>
          <w:p w14:paraId="2354E17B" w14:textId="77777777" w:rsidR="00EF67ED" w:rsidRPr="00B34381" w:rsidRDefault="00EF67ED" w:rsidP="003A3DD0">
            <w:pPr>
              <w:keepNext/>
              <w:keepLines/>
              <w:widowControl w:val="0"/>
              <w:spacing w:after="0"/>
              <w:jc w:val="right"/>
              <w:rPr>
                <w:szCs w:val="18"/>
                <w:lang w:val="sl-SI"/>
              </w:rPr>
            </w:pPr>
          </w:p>
        </w:tc>
      </w:tr>
      <w:tr w:rsidR="00EF67ED" w:rsidRPr="00B34381" w14:paraId="7980B890" w14:textId="77777777" w:rsidTr="00FA313D">
        <w:tc>
          <w:tcPr>
            <w:tcW w:w="988" w:type="dxa"/>
            <w:tcBorders>
              <w:top w:val="nil"/>
              <w:bottom w:val="nil"/>
            </w:tcBorders>
            <w:shd w:val="clear" w:color="auto" w:fill="auto"/>
          </w:tcPr>
          <w:p w14:paraId="5CBCA7B8" w14:textId="77777777" w:rsidR="00EF67ED" w:rsidRPr="00B34381" w:rsidRDefault="00EF67ED" w:rsidP="003A3DD0">
            <w:pPr>
              <w:keepNext/>
              <w:keepLines/>
              <w:widowControl w:val="0"/>
              <w:spacing w:after="0"/>
              <w:rPr>
                <w:szCs w:val="18"/>
                <w:lang w:val="sl-SI"/>
              </w:rPr>
            </w:pPr>
            <w:proofErr w:type="spellStart"/>
            <w:r w:rsidRPr="00B34381">
              <w:rPr>
                <w:szCs w:val="18"/>
                <w:lang w:val="sl-SI"/>
              </w:rPr>
              <w:t>mepude</w:t>
            </w:r>
            <w:proofErr w:type="spellEnd"/>
          </w:p>
        </w:tc>
        <w:tc>
          <w:tcPr>
            <w:tcW w:w="988" w:type="dxa"/>
            <w:tcBorders>
              <w:top w:val="nil"/>
              <w:bottom w:val="nil"/>
            </w:tcBorders>
            <w:shd w:val="clear" w:color="auto" w:fill="auto"/>
          </w:tcPr>
          <w:p w14:paraId="4C7B1DFA"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6379*</w:t>
            </w:r>
          </w:p>
        </w:tc>
        <w:tc>
          <w:tcPr>
            <w:tcW w:w="988" w:type="dxa"/>
            <w:tcBorders>
              <w:top w:val="nil"/>
              <w:bottom w:val="nil"/>
            </w:tcBorders>
            <w:shd w:val="clear" w:color="auto" w:fill="auto"/>
          </w:tcPr>
          <w:p w14:paraId="2A39DB62"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9" w:type="dxa"/>
            <w:tcBorders>
              <w:top w:val="nil"/>
              <w:bottom w:val="nil"/>
            </w:tcBorders>
            <w:shd w:val="clear" w:color="auto" w:fill="auto"/>
          </w:tcPr>
          <w:p w14:paraId="08A21718" w14:textId="77777777" w:rsidR="00EF67ED" w:rsidRPr="00B34381" w:rsidRDefault="00EF67ED" w:rsidP="003A3DD0">
            <w:pPr>
              <w:keepNext/>
              <w:keepLines/>
              <w:widowControl w:val="0"/>
              <w:spacing w:after="0"/>
              <w:jc w:val="right"/>
              <w:rPr>
                <w:szCs w:val="18"/>
                <w:lang w:val="sl-SI"/>
              </w:rPr>
            </w:pPr>
          </w:p>
        </w:tc>
        <w:tc>
          <w:tcPr>
            <w:tcW w:w="989" w:type="dxa"/>
            <w:tcBorders>
              <w:top w:val="nil"/>
              <w:bottom w:val="nil"/>
            </w:tcBorders>
            <w:shd w:val="clear" w:color="auto" w:fill="auto"/>
          </w:tcPr>
          <w:p w14:paraId="4D5CBB0D" w14:textId="77777777" w:rsidR="00EF67ED" w:rsidRPr="00B34381" w:rsidRDefault="00EF67ED" w:rsidP="003A3DD0">
            <w:pPr>
              <w:keepNext/>
              <w:keepLines/>
              <w:widowControl w:val="0"/>
              <w:spacing w:after="0"/>
              <w:jc w:val="right"/>
              <w:rPr>
                <w:szCs w:val="18"/>
                <w:lang w:val="sl-SI"/>
              </w:rPr>
            </w:pPr>
          </w:p>
        </w:tc>
      </w:tr>
      <w:tr w:rsidR="00EF67ED" w:rsidRPr="00B34381" w14:paraId="259E01DF" w14:textId="77777777" w:rsidTr="00FA313D">
        <w:tc>
          <w:tcPr>
            <w:tcW w:w="988" w:type="dxa"/>
            <w:tcBorders>
              <w:top w:val="nil"/>
              <w:bottom w:val="nil"/>
            </w:tcBorders>
            <w:shd w:val="clear" w:color="auto" w:fill="auto"/>
          </w:tcPr>
          <w:p w14:paraId="5A355A28" w14:textId="77777777" w:rsidR="00EF67ED" w:rsidRPr="00B34381" w:rsidRDefault="00EF67ED" w:rsidP="003A3DD0">
            <w:pPr>
              <w:keepNext/>
              <w:keepLines/>
              <w:widowControl w:val="0"/>
              <w:spacing w:after="0"/>
              <w:rPr>
                <w:szCs w:val="18"/>
                <w:lang w:val="sl-SI"/>
              </w:rPr>
            </w:pPr>
            <w:proofErr w:type="spellStart"/>
            <w:r w:rsidRPr="00B34381">
              <w:rPr>
                <w:szCs w:val="18"/>
                <w:lang w:val="sl-SI"/>
              </w:rPr>
              <w:t>mepuus</w:t>
            </w:r>
            <w:proofErr w:type="spellEnd"/>
          </w:p>
        </w:tc>
        <w:tc>
          <w:tcPr>
            <w:tcW w:w="988" w:type="dxa"/>
            <w:tcBorders>
              <w:top w:val="nil"/>
              <w:bottom w:val="nil"/>
            </w:tcBorders>
            <w:shd w:val="clear" w:color="auto" w:fill="auto"/>
          </w:tcPr>
          <w:p w14:paraId="4BD09576"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5934*</w:t>
            </w:r>
          </w:p>
        </w:tc>
        <w:tc>
          <w:tcPr>
            <w:tcW w:w="988" w:type="dxa"/>
            <w:tcBorders>
              <w:top w:val="nil"/>
              <w:bottom w:val="nil"/>
            </w:tcBorders>
            <w:shd w:val="clear" w:color="auto" w:fill="auto"/>
          </w:tcPr>
          <w:p w14:paraId="1C029D0C"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6438*</w:t>
            </w:r>
          </w:p>
        </w:tc>
        <w:tc>
          <w:tcPr>
            <w:tcW w:w="989" w:type="dxa"/>
            <w:tcBorders>
              <w:top w:val="nil"/>
              <w:bottom w:val="nil"/>
            </w:tcBorders>
            <w:shd w:val="clear" w:color="auto" w:fill="auto"/>
          </w:tcPr>
          <w:p w14:paraId="2B4F8C49"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c>
          <w:tcPr>
            <w:tcW w:w="989" w:type="dxa"/>
            <w:tcBorders>
              <w:top w:val="nil"/>
              <w:bottom w:val="nil"/>
            </w:tcBorders>
            <w:shd w:val="clear" w:color="auto" w:fill="auto"/>
          </w:tcPr>
          <w:p w14:paraId="25C58578" w14:textId="77777777" w:rsidR="00EF67ED" w:rsidRPr="00B34381" w:rsidRDefault="00EF67ED" w:rsidP="003A3DD0">
            <w:pPr>
              <w:keepNext/>
              <w:keepLines/>
              <w:widowControl w:val="0"/>
              <w:spacing w:after="0"/>
              <w:jc w:val="right"/>
              <w:rPr>
                <w:szCs w:val="18"/>
                <w:lang w:val="sl-SI"/>
              </w:rPr>
            </w:pPr>
          </w:p>
        </w:tc>
      </w:tr>
      <w:tr w:rsidR="00EF67ED" w:rsidRPr="00B34381" w14:paraId="239BADB6" w14:textId="77777777" w:rsidTr="00FA313D">
        <w:tc>
          <w:tcPr>
            <w:tcW w:w="988" w:type="dxa"/>
            <w:tcBorders>
              <w:top w:val="nil"/>
              <w:bottom w:val="double" w:sz="4" w:space="0" w:color="auto"/>
            </w:tcBorders>
            <w:shd w:val="clear" w:color="auto" w:fill="auto"/>
          </w:tcPr>
          <w:p w14:paraId="39BA811C" w14:textId="77777777" w:rsidR="00EF67ED" w:rsidRPr="00B34381" w:rsidRDefault="00EF67ED" w:rsidP="003A3DD0">
            <w:pPr>
              <w:keepNext/>
              <w:keepLines/>
              <w:widowControl w:val="0"/>
              <w:spacing w:after="0"/>
              <w:rPr>
                <w:szCs w:val="18"/>
                <w:lang w:val="sl-SI"/>
              </w:rPr>
            </w:pPr>
            <w:proofErr w:type="spellStart"/>
            <w:r w:rsidRPr="00B34381">
              <w:rPr>
                <w:szCs w:val="18"/>
                <w:lang w:val="sl-SI"/>
              </w:rPr>
              <w:t>mepuuk</w:t>
            </w:r>
            <w:proofErr w:type="spellEnd"/>
          </w:p>
        </w:tc>
        <w:tc>
          <w:tcPr>
            <w:tcW w:w="988" w:type="dxa"/>
            <w:tcBorders>
              <w:top w:val="nil"/>
              <w:bottom w:val="double" w:sz="4" w:space="0" w:color="auto"/>
            </w:tcBorders>
            <w:shd w:val="clear" w:color="auto" w:fill="auto"/>
          </w:tcPr>
          <w:p w14:paraId="42F7D262"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7386*</w:t>
            </w:r>
          </w:p>
        </w:tc>
        <w:tc>
          <w:tcPr>
            <w:tcW w:w="988" w:type="dxa"/>
            <w:tcBorders>
              <w:top w:val="nil"/>
              <w:bottom w:val="double" w:sz="4" w:space="0" w:color="auto"/>
            </w:tcBorders>
            <w:shd w:val="clear" w:color="auto" w:fill="auto"/>
          </w:tcPr>
          <w:p w14:paraId="384ED0D2"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7494*</w:t>
            </w:r>
          </w:p>
        </w:tc>
        <w:tc>
          <w:tcPr>
            <w:tcW w:w="989" w:type="dxa"/>
            <w:tcBorders>
              <w:top w:val="nil"/>
              <w:bottom w:val="double" w:sz="4" w:space="0" w:color="auto"/>
            </w:tcBorders>
            <w:shd w:val="clear" w:color="auto" w:fill="auto"/>
          </w:tcPr>
          <w:p w14:paraId="42ADCC40" w14:textId="77777777" w:rsidR="00EF67ED" w:rsidRPr="00B34381" w:rsidRDefault="00EF67ED" w:rsidP="003A3DD0">
            <w:pPr>
              <w:keepNext/>
              <w:keepLines/>
              <w:widowControl w:val="0"/>
              <w:spacing w:after="0"/>
              <w:jc w:val="right"/>
              <w:rPr>
                <w:szCs w:val="18"/>
                <w:lang w:val="sl-SI"/>
              </w:rPr>
            </w:pPr>
            <w:r w:rsidRPr="00B34381">
              <w:rPr>
                <w:szCs w:val="18"/>
                <w:lang w:val="sl-SI"/>
              </w:rPr>
              <w:t>0</w:t>
            </w:r>
            <w:r w:rsidR="00BC2360" w:rsidRPr="00B34381">
              <w:rPr>
                <w:szCs w:val="18"/>
                <w:lang w:val="sl-SI"/>
              </w:rPr>
              <w:t>,</w:t>
            </w:r>
            <w:r w:rsidRPr="00B34381">
              <w:rPr>
                <w:szCs w:val="18"/>
                <w:lang w:val="sl-SI"/>
              </w:rPr>
              <w:t>7968*</w:t>
            </w:r>
          </w:p>
        </w:tc>
        <w:tc>
          <w:tcPr>
            <w:tcW w:w="989" w:type="dxa"/>
            <w:tcBorders>
              <w:top w:val="nil"/>
              <w:bottom w:val="double" w:sz="4" w:space="0" w:color="auto"/>
            </w:tcBorders>
            <w:shd w:val="clear" w:color="auto" w:fill="auto"/>
          </w:tcPr>
          <w:p w14:paraId="2081836D" w14:textId="77777777" w:rsidR="00EF67ED" w:rsidRPr="00B34381" w:rsidRDefault="00EF67ED" w:rsidP="003A3DD0">
            <w:pPr>
              <w:keepNext/>
              <w:keepLines/>
              <w:widowControl w:val="0"/>
              <w:spacing w:after="0"/>
              <w:jc w:val="right"/>
              <w:rPr>
                <w:szCs w:val="18"/>
                <w:lang w:val="sl-SI"/>
              </w:rPr>
            </w:pPr>
            <w:r w:rsidRPr="00B34381">
              <w:rPr>
                <w:szCs w:val="18"/>
                <w:lang w:val="sl-SI"/>
              </w:rPr>
              <w:t>1,000</w:t>
            </w:r>
          </w:p>
        </w:tc>
      </w:tr>
    </w:tbl>
    <w:p w14:paraId="2663F30A" w14:textId="0DC679B2" w:rsidR="00EF67ED" w:rsidRPr="00B34381" w:rsidRDefault="00EF67ED" w:rsidP="003A3DD0">
      <w:pPr>
        <w:keepNext/>
        <w:keepLines/>
        <w:widowControl w:val="0"/>
        <w:spacing w:after="0"/>
        <w:rPr>
          <w:szCs w:val="18"/>
          <w:lang w:val="sl-SI"/>
        </w:rPr>
      </w:pPr>
      <w:r w:rsidRPr="00B34381">
        <w:rPr>
          <w:szCs w:val="18"/>
          <w:lang w:val="sl-SI"/>
        </w:rPr>
        <w:t>Opomba:</w:t>
      </w:r>
      <w:r w:rsidR="00B17729" w:rsidRPr="00B34381">
        <w:rPr>
          <w:szCs w:val="18"/>
          <w:lang w:val="sl-SI"/>
        </w:rPr>
        <w:t xml:space="preserve"> * </w:t>
      </w:r>
      <m:oMath>
        <m:r>
          <w:rPr>
            <w:rFonts w:ascii="Cambria Math" w:hAnsi="Cambria Math"/>
            <w:szCs w:val="18"/>
            <w:lang w:val="sl-SI"/>
          </w:rPr>
          <m:t>p&lt;0,05</m:t>
        </m:r>
      </m:oMath>
      <w:r w:rsidR="0064059A" w:rsidRPr="00B34381">
        <w:rPr>
          <w:szCs w:val="18"/>
          <w:lang w:val="sl-SI"/>
        </w:rPr>
        <w:t>.</w:t>
      </w:r>
    </w:p>
    <w:p w14:paraId="636F8AE4" w14:textId="77777777" w:rsidR="00EF67ED" w:rsidRPr="00B34381" w:rsidRDefault="00EF67ED" w:rsidP="006E1438">
      <w:pPr>
        <w:rPr>
          <w:szCs w:val="18"/>
          <w:lang w:val="sl-SI"/>
        </w:rPr>
      </w:pPr>
      <w:r w:rsidRPr="00B34381">
        <w:rPr>
          <w:szCs w:val="18"/>
          <w:lang w:val="sl-SI"/>
        </w:rPr>
        <w:t xml:space="preserve">Vir podatkov: </w:t>
      </w:r>
      <w:r w:rsidR="00357120" w:rsidRPr="00B34381">
        <w:rPr>
          <w:szCs w:val="18"/>
          <w:lang w:val="sl-SI"/>
        </w:rPr>
        <w:t>lastni izračuni.</w:t>
      </w:r>
    </w:p>
    <w:p w14:paraId="493038E0" w14:textId="77777777" w:rsidR="008C2F0D" w:rsidRPr="00B34381" w:rsidRDefault="008C2F0D" w:rsidP="006E1438">
      <w:pPr>
        <w:rPr>
          <w:szCs w:val="18"/>
          <w:lang w:val="sl-SI"/>
        </w:rPr>
      </w:pPr>
      <w:r w:rsidRPr="00B34381">
        <w:rPr>
          <w:szCs w:val="18"/>
          <w:lang w:val="sl-SI"/>
        </w:rPr>
        <w:t>Ob zadnjih dogodkih z begunci v Evropi in Srednji Ameriki se sprašujemo, ali s priseljevanjem povezana gospodarskopolitična negotovost vpliva na brezposelnost in industrijsko proizvodnjo.</w:t>
      </w:r>
    </w:p>
    <w:p w14:paraId="5A02C05E" w14:textId="0BBAD4B7" w:rsidR="008C2F0D" w:rsidRPr="00B34381" w:rsidRDefault="008C2F0D" w:rsidP="006E1438">
      <w:pPr>
        <w:rPr>
          <w:szCs w:val="18"/>
          <w:lang w:val="sl-SI"/>
        </w:rPr>
      </w:pPr>
      <w:r w:rsidRPr="00B34381">
        <w:rPr>
          <w:szCs w:val="18"/>
          <w:lang w:val="sl-SI"/>
        </w:rPr>
        <w:t xml:space="preserve">Ta prispevek </w:t>
      </w:r>
      <w:r w:rsidR="006E1438" w:rsidRPr="00B34381">
        <w:rPr>
          <w:szCs w:val="18"/>
          <w:lang w:val="sl-SI"/>
        </w:rPr>
        <w:t>dopolnjuje</w:t>
      </w:r>
      <w:r w:rsidRPr="00B34381">
        <w:rPr>
          <w:szCs w:val="18"/>
          <w:lang w:val="sl-SI"/>
        </w:rPr>
        <w:t xml:space="preserve"> literaturo o (s priseljevanjem povezani) gospodarskopolitični negotovosti (v Franciji, Nemčiji, ZDA in Združenem kraljestvu) in se opira zlasti na ugotovitve S. R. </w:t>
      </w:r>
      <w:proofErr w:type="spellStart"/>
      <w:r w:rsidRPr="00B34381">
        <w:rPr>
          <w:szCs w:val="18"/>
          <w:lang w:val="sl-SI"/>
        </w:rPr>
        <w:t>Bakerja</w:t>
      </w:r>
      <w:proofErr w:type="spellEnd"/>
      <w:r w:rsidRPr="00B34381">
        <w:rPr>
          <w:szCs w:val="18"/>
          <w:lang w:val="sl-SI"/>
        </w:rPr>
        <w:t xml:space="preserve">, N. Blooma in S. J. Davisa </w:t>
      </w:r>
      <w:r w:rsidR="00E7233B" w:rsidRPr="00B34381">
        <w:rPr>
          <w:szCs w:val="18"/>
          <w:lang w:val="sl-SI"/>
        </w:rPr>
        <w:t>[3]</w:t>
      </w:r>
      <w:r w:rsidR="002657E8" w:rsidRPr="00B34381">
        <w:rPr>
          <w:szCs w:val="18"/>
          <w:lang w:val="sl-SI"/>
        </w:rPr>
        <w:t xml:space="preserve">, </w:t>
      </w:r>
      <w:r w:rsidRPr="00B34381">
        <w:rPr>
          <w:szCs w:val="18"/>
          <w:lang w:val="sl-SI"/>
        </w:rPr>
        <w:t xml:space="preserve">T. </w:t>
      </w:r>
      <w:proofErr w:type="spellStart"/>
      <w:r w:rsidRPr="00B34381">
        <w:rPr>
          <w:szCs w:val="18"/>
          <w:lang w:val="sl-SI"/>
        </w:rPr>
        <w:t>Fraserja</w:t>
      </w:r>
      <w:proofErr w:type="spellEnd"/>
      <w:r w:rsidRPr="00B34381">
        <w:rPr>
          <w:szCs w:val="18"/>
          <w:lang w:val="sl-SI"/>
        </w:rPr>
        <w:t xml:space="preserve"> in M. </w:t>
      </w:r>
      <w:proofErr w:type="spellStart"/>
      <w:r w:rsidRPr="00B34381">
        <w:rPr>
          <w:szCs w:val="18"/>
          <w:lang w:val="sl-SI"/>
        </w:rPr>
        <w:t>Üngörja</w:t>
      </w:r>
      <w:proofErr w:type="spellEnd"/>
      <w:r w:rsidRPr="00B34381">
        <w:rPr>
          <w:szCs w:val="18"/>
          <w:lang w:val="sl-SI"/>
        </w:rPr>
        <w:t xml:space="preserve"> </w:t>
      </w:r>
      <w:r w:rsidR="00E7233B" w:rsidRPr="00B34381">
        <w:rPr>
          <w:szCs w:val="18"/>
          <w:lang w:val="sl-SI"/>
        </w:rPr>
        <w:t>[4]</w:t>
      </w:r>
      <w:r w:rsidR="002657E8" w:rsidRPr="00B34381">
        <w:rPr>
          <w:szCs w:val="18"/>
          <w:lang w:val="sl-SI"/>
        </w:rPr>
        <w:t xml:space="preserve"> ter </w:t>
      </w:r>
      <w:bookmarkStart w:id="1" w:name="_Hlk19079771"/>
      <w:bookmarkStart w:id="2" w:name="_Hlk19034990"/>
      <w:r w:rsidR="002657E8" w:rsidRPr="00B34381">
        <w:rPr>
          <w:szCs w:val="18"/>
          <w:lang w:val="sl-SI"/>
        </w:rPr>
        <w:t xml:space="preserve">M. </w:t>
      </w:r>
      <w:proofErr w:type="spellStart"/>
      <w:r w:rsidR="002657E8" w:rsidRPr="00B34381">
        <w:rPr>
          <w:szCs w:val="18"/>
          <w:lang w:val="sl-SI"/>
        </w:rPr>
        <w:t>Donadelli</w:t>
      </w:r>
      <w:r w:rsidR="002F0610" w:rsidRPr="00B34381">
        <w:rPr>
          <w:szCs w:val="18"/>
          <w:lang w:val="sl-SI"/>
        </w:rPr>
        <w:t>ja</w:t>
      </w:r>
      <w:proofErr w:type="spellEnd"/>
      <w:r w:rsidR="002657E8" w:rsidRPr="00B34381">
        <w:rPr>
          <w:szCs w:val="18"/>
          <w:lang w:val="sl-SI"/>
        </w:rPr>
        <w:t xml:space="preserve">, L. </w:t>
      </w:r>
      <w:proofErr w:type="spellStart"/>
      <w:r w:rsidR="002657E8" w:rsidRPr="00B34381">
        <w:rPr>
          <w:szCs w:val="18"/>
          <w:lang w:val="sl-SI"/>
        </w:rPr>
        <w:t>Gerott</w:t>
      </w:r>
      <w:r w:rsidR="002F0610" w:rsidRPr="00B34381">
        <w:rPr>
          <w:szCs w:val="18"/>
          <w:lang w:val="sl-SI"/>
        </w:rPr>
        <w:t>e</w:t>
      </w:r>
      <w:proofErr w:type="spellEnd"/>
      <w:r w:rsidR="002657E8" w:rsidRPr="00B34381">
        <w:rPr>
          <w:szCs w:val="18"/>
          <w:lang w:val="sl-SI"/>
        </w:rPr>
        <w:t xml:space="preserve">, M. </w:t>
      </w:r>
      <w:proofErr w:type="spellStart"/>
      <w:r w:rsidR="002657E8" w:rsidRPr="00B34381">
        <w:rPr>
          <w:szCs w:val="18"/>
          <w:lang w:val="sl-SI"/>
        </w:rPr>
        <w:t>Luccheta</w:t>
      </w:r>
      <w:proofErr w:type="spellEnd"/>
      <w:r w:rsidR="002657E8" w:rsidRPr="00B34381">
        <w:rPr>
          <w:szCs w:val="18"/>
          <w:lang w:val="sl-SI"/>
        </w:rPr>
        <w:t xml:space="preserve"> in D. </w:t>
      </w:r>
      <w:proofErr w:type="spellStart"/>
      <w:r w:rsidR="002657E8" w:rsidRPr="00B34381">
        <w:rPr>
          <w:szCs w:val="18"/>
          <w:lang w:val="sl-SI"/>
        </w:rPr>
        <w:t>Arzu</w:t>
      </w:r>
      <w:bookmarkEnd w:id="1"/>
      <w:proofErr w:type="spellEnd"/>
      <w:r w:rsidR="002657E8" w:rsidRPr="00B34381">
        <w:rPr>
          <w:szCs w:val="18"/>
          <w:lang w:val="sl-SI"/>
        </w:rPr>
        <w:t xml:space="preserve"> </w:t>
      </w:r>
      <w:r w:rsidR="00E7233B" w:rsidRPr="00B34381">
        <w:rPr>
          <w:szCs w:val="18"/>
          <w:lang w:val="sl-SI"/>
        </w:rPr>
        <w:t>[5]</w:t>
      </w:r>
      <w:r w:rsidR="002657E8" w:rsidRPr="00B34381">
        <w:rPr>
          <w:szCs w:val="18"/>
          <w:lang w:val="sl-SI"/>
        </w:rPr>
        <w:t>.</w:t>
      </w:r>
      <w:bookmarkEnd w:id="2"/>
    </w:p>
    <w:p w14:paraId="369AAB91" w14:textId="77777777" w:rsidR="008B197E" w:rsidRPr="00B34381" w:rsidRDefault="000277C3">
      <w:pPr>
        <w:pStyle w:val="Heading1"/>
        <w:spacing w:before="120"/>
        <w:rPr>
          <w:sz w:val="18"/>
          <w:szCs w:val="18"/>
          <w:lang w:val="sl-SI"/>
        </w:rPr>
      </w:pPr>
      <w:r w:rsidRPr="00B34381">
        <w:rPr>
          <w:sz w:val="18"/>
          <w:szCs w:val="18"/>
          <w:lang w:val="sl-SI"/>
        </w:rPr>
        <w:t>PREGLED LITERATURE</w:t>
      </w:r>
    </w:p>
    <w:p w14:paraId="66B4B636" w14:textId="77777777" w:rsidR="006E1438" w:rsidRPr="00B34381" w:rsidRDefault="006E1438" w:rsidP="006E1438">
      <w:pPr>
        <w:rPr>
          <w:szCs w:val="18"/>
          <w:lang w:val="sl-SI"/>
        </w:rPr>
      </w:pPr>
      <w:r w:rsidRPr="00B34381">
        <w:rPr>
          <w:szCs w:val="18"/>
          <w:lang w:val="sl-SI"/>
        </w:rPr>
        <w:t>V tem poglavju podajamo pregled literature o (s priseljevanjem povezani) gospodarskopolitični negotovosti.</w:t>
      </w:r>
    </w:p>
    <w:p w14:paraId="3DBF1BF8" w14:textId="77777777" w:rsidR="00CD4CB0" w:rsidRPr="00B34381" w:rsidRDefault="00B5166B" w:rsidP="00CD4CB0">
      <w:pPr>
        <w:pStyle w:val="Heading2"/>
        <w:spacing w:before="120"/>
        <w:rPr>
          <w:sz w:val="18"/>
          <w:szCs w:val="18"/>
          <w:lang w:val="sl-SI"/>
        </w:rPr>
      </w:pPr>
      <w:r w:rsidRPr="00B34381">
        <w:rPr>
          <w:sz w:val="18"/>
          <w:szCs w:val="18"/>
          <w:lang w:val="sl-SI"/>
        </w:rPr>
        <w:t>Gospodarskopolitična negotovost</w:t>
      </w:r>
    </w:p>
    <w:p w14:paraId="67A0D794" w14:textId="3BB1E054" w:rsidR="006227EE" w:rsidRPr="00B34381" w:rsidRDefault="00F750C7" w:rsidP="00F750C7">
      <w:pPr>
        <w:rPr>
          <w:szCs w:val="18"/>
          <w:lang w:val="sl-SI"/>
        </w:rPr>
      </w:pPr>
      <w:r w:rsidRPr="00B34381">
        <w:rPr>
          <w:szCs w:val="18"/>
          <w:lang w:val="sl-SI"/>
        </w:rPr>
        <w:t xml:space="preserve">V literaturi srečujemo različne </w:t>
      </w:r>
      <w:r w:rsidR="00563B49" w:rsidRPr="00B34381">
        <w:rPr>
          <w:szCs w:val="18"/>
          <w:lang w:val="sl-SI"/>
        </w:rPr>
        <w:t xml:space="preserve">vrste </w:t>
      </w:r>
      <w:r w:rsidRPr="00B34381">
        <w:rPr>
          <w:szCs w:val="18"/>
          <w:lang w:val="sl-SI"/>
        </w:rPr>
        <w:t>kazalce</w:t>
      </w:r>
      <w:r w:rsidR="00563B49" w:rsidRPr="00B34381">
        <w:rPr>
          <w:szCs w:val="18"/>
          <w:lang w:val="sl-SI"/>
        </w:rPr>
        <w:t>v</w:t>
      </w:r>
      <w:r w:rsidRPr="00B34381">
        <w:rPr>
          <w:szCs w:val="18"/>
          <w:lang w:val="sl-SI"/>
        </w:rPr>
        <w:t xml:space="preserve"> gospodarskopolitične negotovosti: časopisne, finančne itd. (gl. npr. </w:t>
      </w:r>
      <w:r w:rsidR="00E7233B" w:rsidRPr="00B34381">
        <w:rPr>
          <w:szCs w:val="18"/>
          <w:lang w:val="sl-SI"/>
        </w:rPr>
        <w:t>[6]</w:t>
      </w:r>
      <w:r w:rsidRPr="00B34381">
        <w:rPr>
          <w:szCs w:val="18"/>
          <w:lang w:val="sl-SI"/>
        </w:rPr>
        <w:t xml:space="preserve">). S. R. Baker, N. Bloom in S. J. Davis </w:t>
      </w:r>
      <w:r w:rsidR="00E7233B" w:rsidRPr="00B34381">
        <w:rPr>
          <w:szCs w:val="18"/>
          <w:lang w:val="sl-SI"/>
        </w:rPr>
        <w:t xml:space="preserve">[7] </w:t>
      </w:r>
      <w:r w:rsidRPr="00B34381">
        <w:rPr>
          <w:szCs w:val="18"/>
          <w:lang w:val="sl-SI"/>
        </w:rPr>
        <w:t xml:space="preserve">so razvili časopisni indeks gospodarskopolitične negotovosti (angl. </w:t>
      </w:r>
      <w:r w:rsidRPr="00B34381">
        <w:rPr>
          <w:i/>
          <w:iCs/>
          <w:szCs w:val="18"/>
          <w:lang w:val="en-GB"/>
        </w:rPr>
        <w:t>newspaper-based index of economic policy uncertainty</w:t>
      </w:r>
      <w:r w:rsidRPr="00B34381">
        <w:rPr>
          <w:szCs w:val="18"/>
          <w:lang w:val="sl-SI"/>
        </w:rPr>
        <w:t>)</w:t>
      </w:r>
      <w:r w:rsidR="00454F67" w:rsidRPr="00B34381">
        <w:rPr>
          <w:szCs w:val="18"/>
          <w:lang w:val="sl-SI"/>
        </w:rPr>
        <w:t xml:space="preserve">, </w:t>
      </w:r>
      <w:r w:rsidR="001C4A7B" w:rsidRPr="00B34381">
        <w:rPr>
          <w:szCs w:val="18"/>
          <w:lang w:val="sl-SI"/>
        </w:rPr>
        <w:t>o katerem se veliko govori in piše</w:t>
      </w:r>
      <w:r w:rsidR="00454F67" w:rsidRPr="00B34381">
        <w:rPr>
          <w:szCs w:val="18"/>
          <w:lang w:val="sl-SI"/>
        </w:rPr>
        <w:t>.</w:t>
      </w:r>
    </w:p>
    <w:p w14:paraId="207B247B" w14:textId="77777777" w:rsidR="00F750C7" w:rsidRPr="00B34381" w:rsidRDefault="00D22D69" w:rsidP="00F750C7">
      <w:pPr>
        <w:rPr>
          <w:szCs w:val="18"/>
          <w:lang w:val="sl-SI"/>
        </w:rPr>
      </w:pPr>
      <w:r w:rsidRPr="00B34381">
        <w:rPr>
          <w:szCs w:val="18"/>
          <w:lang w:val="sl-SI"/>
        </w:rPr>
        <w:t xml:space="preserve">Na spletišču </w:t>
      </w:r>
      <w:hyperlink r:id="rId18" w:history="1">
        <w:r w:rsidRPr="00B34381">
          <w:rPr>
            <w:rStyle w:val="Hyperlink"/>
            <w:szCs w:val="18"/>
            <w:lang w:val="sl-SI"/>
          </w:rPr>
          <w:t>http://www.policyuncertainty.com/</w:t>
        </w:r>
      </w:hyperlink>
      <w:r w:rsidRPr="00B34381">
        <w:rPr>
          <w:szCs w:val="18"/>
          <w:lang w:val="sl-SI"/>
        </w:rPr>
        <w:t xml:space="preserve"> so dostopni podatki o časopisnih indeksih gospodarskopolitične negotovosti za 22 držav (Avstralijo, Brazilijo, Čile, Francijo, Grčijo, Indijo, Irsko, Italijo, Japonsko, Južno Korejo, Kanado, Kitajsko, Kolumbijo, Mehiko, Nemčijo, Nizozemsko, Rusijo, Singapur, Španijo, Švedsko, ZDA, Združeno kraljestvo).</w:t>
      </w:r>
    </w:p>
    <w:p w14:paraId="2F3342C0" w14:textId="790F7D35" w:rsidR="00F85C63" w:rsidRPr="00B34381" w:rsidRDefault="00F85C63" w:rsidP="00F750C7">
      <w:pPr>
        <w:rPr>
          <w:szCs w:val="18"/>
          <w:lang w:val="sl-SI"/>
        </w:rPr>
      </w:pPr>
      <w:r w:rsidRPr="00B34381">
        <w:rPr>
          <w:szCs w:val="18"/>
          <w:lang w:val="sl-SI"/>
        </w:rPr>
        <w:t xml:space="preserve">S. R. Baker, N. Bloom in S. J. Davis </w:t>
      </w:r>
      <w:r w:rsidR="00E7233B" w:rsidRPr="00B34381">
        <w:rPr>
          <w:szCs w:val="18"/>
          <w:lang w:val="sl-SI"/>
        </w:rPr>
        <w:t>[8]</w:t>
      </w:r>
      <w:r w:rsidRPr="00B34381">
        <w:rPr>
          <w:szCs w:val="18"/>
          <w:lang w:val="sl-SI"/>
        </w:rPr>
        <w:t xml:space="preserve"> so proučevali vpliv šoka</w:t>
      </w:r>
      <w:r w:rsidR="00230CBB">
        <w:rPr>
          <w:szCs w:val="18"/>
          <w:lang w:val="sl-SI"/>
        </w:rPr>
        <w:t xml:space="preserve"> </w:t>
      </w:r>
      <w:r w:rsidRPr="00B34381">
        <w:rPr>
          <w:szCs w:val="18"/>
          <w:lang w:val="sl-SI"/>
        </w:rPr>
        <w:t xml:space="preserve">gospodarskopolitične negotovosti na industrijsko proizvodnjo in zaposlenost v ZDA. Ugotovili so, da šok gospodarskopolitične negotovosti zmanjša industrijsko proizvodnjo in zaposlenost. S. R. Baker, N. Bloom in S. J. Davis </w:t>
      </w:r>
      <w:r w:rsidR="00E7233B" w:rsidRPr="00B34381">
        <w:rPr>
          <w:szCs w:val="18"/>
          <w:lang w:val="sl-SI"/>
        </w:rPr>
        <w:t>[9]</w:t>
      </w:r>
      <w:r w:rsidRPr="00B34381">
        <w:rPr>
          <w:szCs w:val="18"/>
          <w:lang w:val="sl-SI"/>
        </w:rPr>
        <w:t xml:space="preserve"> so proučevali tudi vpliv šoka gospodarskopolitične negotovosti na industrijsko proizvodnjo in </w:t>
      </w:r>
      <w:r w:rsidRPr="00B34381">
        <w:rPr>
          <w:szCs w:val="18"/>
          <w:lang w:val="sl-SI"/>
        </w:rPr>
        <w:lastRenderedPageBreak/>
        <w:t xml:space="preserve">brezposelnost </w:t>
      </w:r>
      <w:r w:rsidR="001C4A7B" w:rsidRPr="00B34381">
        <w:rPr>
          <w:szCs w:val="18"/>
          <w:lang w:val="sl-SI"/>
        </w:rPr>
        <w:t>na panelu</w:t>
      </w:r>
      <w:r w:rsidRPr="00B34381">
        <w:rPr>
          <w:szCs w:val="18"/>
          <w:lang w:val="sl-SI"/>
        </w:rPr>
        <w:t xml:space="preserve"> dvanajstih držav (Francije, Indije, Italije, Japonske, Južne Koreje, Kanade, Kitajske, Nemčije, Rusije, Španije, ZDA, Združenega kraljestva). Ugotovili so, da šok gospodarskopolitične negotovosti zmanjša industrijsko proizvodnjo in poveča brezposelnost. G. </w:t>
      </w:r>
      <w:proofErr w:type="spellStart"/>
      <w:r w:rsidRPr="00B34381">
        <w:rPr>
          <w:szCs w:val="18"/>
          <w:lang w:val="sl-SI"/>
        </w:rPr>
        <w:t>Caggiano</w:t>
      </w:r>
      <w:proofErr w:type="spellEnd"/>
      <w:r w:rsidRPr="00B34381">
        <w:rPr>
          <w:szCs w:val="18"/>
          <w:lang w:val="sl-SI"/>
        </w:rPr>
        <w:t xml:space="preserve">, E. </w:t>
      </w:r>
      <w:proofErr w:type="spellStart"/>
      <w:r w:rsidRPr="00B34381">
        <w:rPr>
          <w:szCs w:val="18"/>
          <w:lang w:val="sl-SI"/>
        </w:rPr>
        <w:t>Caselnuovo</w:t>
      </w:r>
      <w:proofErr w:type="spellEnd"/>
      <w:r w:rsidRPr="00B34381">
        <w:rPr>
          <w:szCs w:val="18"/>
          <w:lang w:val="sl-SI"/>
        </w:rPr>
        <w:t xml:space="preserve"> in J. M. </w:t>
      </w:r>
      <w:proofErr w:type="spellStart"/>
      <w:r w:rsidRPr="00B34381">
        <w:rPr>
          <w:szCs w:val="18"/>
          <w:lang w:val="sl-SI"/>
        </w:rPr>
        <w:t>Figueres</w:t>
      </w:r>
      <w:proofErr w:type="spellEnd"/>
      <w:r w:rsidRPr="00B34381">
        <w:rPr>
          <w:szCs w:val="18"/>
          <w:lang w:val="sl-SI"/>
        </w:rPr>
        <w:t xml:space="preserve"> </w:t>
      </w:r>
      <w:r w:rsidR="00E7233B" w:rsidRPr="00B34381">
        <w:rPr>
          <w:szCs w:val="18"/>
          <w:lang w:val="sl-SI"/>
        </w:rPr>
        <w:t>[10]</w:t>
      </w:r>
      <w:r w:rsidRPr="00B34381">
        <w:rPr>
          <w:szCs w:val="18"/>
          <w:lang w:val="sl-SI"/>
        </w:rPr>
        <w:t xml:space="preserve"> so proučevali vpliv šoka gospodarskopolitične negotovosti v ZDA na brezposelnost v Kanadi. Ugotovili so, da šok gospodarskopolitične negotovosti v ZDA poveča brezposelnost v Kanadi, vendar le v obdobju naglega upada gospodarske aktivnosti (angl. </w:t>
      </w:r>
      <w:r w:rsidRPr="00B34381">
        <w:rPr>
          <w:i/>
          <w:iCs/>
          <w:szCs w:val="18"/>
          <w:lang w:val="en-GB"/>
        </w:rPr>
        <w:t>bust</w:t>
      </w:r>
      <w:r w:rsidRPr="00B34381">
        <w:rPr>
          <w:szCs w:val="18"/>
          <w:lang w:val="sl-SI"/>
        </w:rPr>
        <w:t>).</w:t>
      </w:r>
    </w:p>
    <w:p w14:paraId="5C947ED7" w14:textId="77777777" w:rsidR="00CD4CB0" w:rsidRPr="00B34381" w:rsidRDefault="00B5166B" w:rsidP="00F750C7">
      <w:pPr>
        <w:pStyle w:val="Heading2"/>
        <w:tabs>
          <w:tab w:val="left" w:pos="426"/>
        </w:tabs>
        <w:spacing w:before="120"/>
        <w:rPr>
          <w:sz w:val="18"/>
          <w:szCs w:val="18"/>
          <w:lang w:val="sl-SI"/>
        </w:rPr>
      </w:pPr>
      <w:r w:rsidRPr="00B34381">
        <w:rPr>
          <w:sz w:val="18"/>
          <w:szCs w:val="18"/>
          <w:lang w:val="sl-SI"/>
        </w:rPr>
        <w:t>S</w:t>
      </w:r>
      <w:r w:rsidR="006E1438" w:rsidRPr="00B34381">
        <w:rPr>
          <w:sz w:val="18"/>
          <w:szCs w:val="18"/>
          <w:lang w:val="sl-SI"/>
        </w:rPr>
        <w:t xml:space="preserve"> priseljevanjem povezana gospodarskopolitična negotovost</w:t>
      </w:r>
    </w:p>
    <w:p w14:paraId="47D2D5B2" w14:textId="0E80359B" w:rsidR="002657E8" w:rsidRPr="00B34381" w:rsidRDefault="00755A5D" w:rsidP="00F750C7">
      <w:pPr>
        <w:rPr>
          <w:szCs w:val="18"/>
          <w:lang w:val="sl-SI"/>
        </w:rPr>
      </w:pPr>
      <w:r w:rsidRPr="00B34381">
        <w:rPr>
          <w:szCs w:val="18"/>
          <w:lang w:val="sl-SI"/>
        </w:rPr>
        <w:t xml:space="preserve">T. </w:t>
      </w:r>
      <w:proofErr w:type="spellStart"/>
      <w:r w:rsidRPr="00B34381">
        <w:rPr>
          <w:szCs w:val="18"/>
          <w:lang w:val="sl-SI"/>
        </w:rPr>
        <w:t>Fraser</w:t>
      </w:r>
      <w:proofErr w:type="spellEnd"/>
      <w:r w:rsidRPr="00B34381">
        <w:rPr>
          <w:szCs w:val="18"/>
          <w:lang w:val="sl-SI"/>
        </w:rPr>
        <w:t xml:space="preserve"> in M. </w:t>
      </w:r>
      <w:proofErr w:type="spellStart"/>
      <w:r w:rsidRPr="00B34381">
        <w:rPr>
          <w:szCs w:val="18"/>
          <w:lang w:val="sl-SI"/>
        </w:rPr>
        <w:t>Üngör</w:t>
      </w:r>
      <w:proofErr w:type="spellEnd"/>
      <w:r w:rsidRPr="00B34381">
        <w:rPr>
          <w:szCs w:val="18"/>
          <w:lang w:val="sl-SI"/>
        </w:rPr>
        <w:t xml:space="preserve"> </w:t>
      </w:r>
      <w:r w:rsidR="00E7233B" w:rsidRPr="00B34381">
        <w:rPr>
          <w:szCs w:val="18"/>
          <w:lang w:val="sl-SI"/>
        </w:rPr>
        <w:t>[11]</w:t>
      </w:r>
      <w:r w:rsidRPr="00B34381">
        <w:rPr>
          <w:szCs w:val="18"/>
          <w:lang w:val="sl-SI"/>
        </w:rPr>
        <w:t xml:space="preserve"> sta proučevala vpliv šoka s priseljevanjem povezane gospodarskopolitične negotovosti na industrijsko proizvodnjo </w:t>
      </w:r>
      <w:r w:rsidR="00E63866" w:rsidRPr="00B34381">
        <w:rPr>
          <w:szCs w:val="18"/>
          <w:lang w:val="sl-SI"/>
        </w:rPr>
        <w:t xml:space="preserve">in brezposelnost </w:t>
      </w:r>
      <w:r w:rsidRPr="00B34381">
        <w:rPr>
          <w:szCs w:val="18"/>
          <w:lang w:val="sl-SI"/>
        </w:rPr>
        <w:t>v Franciji, Nemčiji, ZDA in Združenem kraljestvu.</w:t>
      </w:r>
      <w:r w:rsidR="00C7358C" w:rsidRPr="00B34381">
        <w:rPr>
          <w:szCs w:val="18"/>
          <w:lang w:val="sl-SI"/>
        </w:rPr>
        <w:t xml:space="preserve"> </w:t>
      </w:r>
      <w:r w:rsidR="007B2FDE" w:rsidRPr="00B34381">
        <w:rPr>
          <w:szCs w:val="18"/>
          <w:lang w:val="sl-SI"/>
        </w:rPr>
        <w:t xml:space="preserve">Z </w:t>
      </w:r>
      <w:proofErr w:type="spellStart"/>
      <w:r w:rsidR="007B2FDE" w:rsidRPr="00B34381">
        <w:rPr>
          <w:szCs w:val="18"/>
          <w:lang w:val="sl-SI"/>
        </w:rPr>
        <w:t>bivariatnim</w:t>
      </w:r>
      <w:proofErr w:type="spellEnd"/>
      <w:r w:rsidR="007B2FDE" w:rsidRPr="00B34381">
        <w:rPr>
          <w:szCs w:val="18"/>
          <w:lang w:val="sl-SI"/>
        </w:rPr>
        <w:t xml:space="preserve"> VAR</w:t>
      </w:r>
      <w:r w:rsidR="00D14C2E" w:rsidRPr="00B34381">
        <w:rPr>
          <w:szCs w:val="18"/>
          <w:lang w:val="sl-SI"/>
        </w:rPr>
        <w:t>-</w:t>
      </w:r>
      <w:r w:rsidR="007B2FDE" w:rsidRPr="00B34381">
        <w:rPr>
          <w:szCs w:val="18"/>
          <w:lang w:val="sl-SI"/>
        </w:rPr>
        <w:t xml:space="preserve">modelom sta ugotovila, da šok s priseljevanjem povezane gospodarskopolitične negotovosti zmanjša industrijsko proizvodnjo v Franciji in ZDA ter brezposelnost v Združenem kraljestvu, z </w:t>
      </w:r>
      <w:proofErr w:type="spellStart"/>
      <w:r w:rsidR="007B2FDE" w:rsidRPr="00B34381">
        <w:rPr>
          <w:szCs w:val="18"/>
          <w:lang w:val="sl-SI"/>
        </w:rPr>
        <w:t>multivariatnim</w:t>
      </w:r>
      <w:proofErr w:type="spellEnd"/>
      <w:r w:rsidR="007B2FDE" w:rsidRPr="00B34381">
        <w:rPr>
          <w:szCs w:val="18"/>
          <w:lang w:val="sl-SI"/>
        </w:rPr>
        <w:t xml:space="preserve"> pa, da šok s priseljevanjem povezane gospodarskopolitične negotovosti zmanjša industrijsko proizvodnjo v ZDA </w:t>
      </w:r>
      <w:r w:rsidR="007C47F1" w:rsidRPr="00B34381">
        <w:rPr>
          <w:szCs w:val="18"/>
          <w:lang w:val="sl-SI"/>
        </w:rPr>
        <w:t>in</w:t>
      </w:r>
      <w:r w:rsidR="007B2FDE" w:rsidRPr="00B34381">
        <w:rPr>
          <w:szCs w:val="18"/>
          <w:lang w:val="sl-SI"/>
        </w:rPr>
        <w:t xml:space="preserve"> jo poveča v Nemčiji </w:t>
      </w:r>
      <w:r w:rsidR="007C47F1" w:rsidRPr="00B34381">
        <w:rPr>
          <w:szCs w:val="18"/>
          <w:lang w:val="sl-SI"/>
        </w:rPr>
        <w:t>ter</w:t>
      </w:r>
      <w:r w:rsidR="007B2FDE" w:rsidRPr="00B34381">
        <w:rPr>
          <w:szCs w:val="18"/>
          <w:lang w:val="sl-SI"/>
        </w:rPr>
        <w:t xml:space="preserve"> Združenem kraljestvu.</w:t>
      </w:r>
      <w:r w:rsidR="002657E8" w:rsidRPr="00B34381">
        <w:rPr>
          <w:szCs w:val="18"/>
          <w:lang w:val="sl-SI"/>
        </w:rPr>
        <w:t xml:space="preserve"> </w:t>
      </w:r>
    </w:p>
    <w:p w14:paraId="7E5CF476" w14:textId="66CAE2F4" w:rsidR="007B2FDE" w:rsidRPr="00B34381" w:rsidRDefault="002657E8" w:rsidP="00F750C7">
      <w:pPr>
        <w:rPr>
          <w:szCs w:val="18"/>
          <w:lang w:val="sl-SI"/>
        </w:rPr>
      </w:pPr>
      <w:r w:rsidRPr="00B34381">
        <w:rPr>
          <w:szCs w:val="18"/>
          <w:lang w:val="sl-SI"/>
        </w:rPr>
        <w:t xml:space="preserve">M. </w:t>
      </w:r>
      <w:proofErr w:type="spellStart"/>
      <w:r w:rsidRPr="00B34381">
        <w:rPr>
          <w:szCs w:val="18"/>
          <w:lang w:val="sl-SI"/>
        </w:rPr>
        <w:t>Donadelli</w:t>
      </w:r>
      <w:proofErr w:type="spellEnd"/>
      <w:r w:rsidRPr="00B34381">
        <w:rPr>
          <w:szCs w:val="18"/>
          <w:lang w:val="sl-SI"/>
        </w:rPr>
        <w:t xml:space="preserve">, L. </w:t>
      </w:r>
      <w:proofErr w:type="spellStart"/>
      <w:r w:rsidRPr="00B34381">
        <w:rPr>
          <w:szCs w:val="18"/>
          <w:lang w:val="sl-SI"/>
        </w:rPr>
        <w:t>Gerotto</w:t>
      </w:r>
      <w:proofErr w:type="spellEnd"/>
      <w:r w:rsidRPr="00B34381">
        <w:rPr>
          <w:szCs w:val="18"/>
          <w:lang w:val="sl-SI"/>
        </w:rPr>
        <w:t xml:space="preserve">, M. </w:t>
      </w:r>
      <w:proofErr w:type="spellStart"/>
      <w:r w:rsidRPr="00B34381">
        <w:rPr>
          <w:szCs w:val="18"/>
          <w:lang w:val="sl-SI"/>
        </w:rPr>
        <w:t>Luccheta</w:t>
      </w:r>
      <w:proofErr w:type="spellEnd"/>
      <w:r w:rsidRPr="00B34381">
        <w:rPr>
          <w:szCs w:val="18"/>
          <w:lang w:val="sl-SI"/>
        </w:rPr>
        <w:t xml:space="preserve"> in D. </w:t>
      </w:r>
      <w:proofErr w:type="spellStart"/>
      <w:r w:rsidRPr="00B34381">
        <w:rPr>
          <w:szCs w:val="18"/>
          <w:lang w:val="sl-SI"/>
        </w:rPr>
        <w:t>Arzu</w:t>
      </w:r>
      <w:proofErr w:type="spellEnd"/>
      <w:r w:rsidRPr="00B34381">
        <w:rPr>
          <w:szCs w:val="18"/>
          <w:lang w:val="sl-SI"/>
        </w:rPr>
        <w:t xml:space="preserve"> </w:t>
      </w:r>
      <w:r w:rsidR="00E7233B" w:rsidRPr="00B34381">
        <w:rPr>
          <w:szCs w:val="18"/>
          <w:lang w:val="sl-SI"/>
        </w:rPr>
        <w:t>[12]</w:t>
      </w:r>
      <w:r w:rsidRPr="00B34381">
        <w:rPr>
          <w:szCs w:val="18"/>
          <w:lang w:val="sl-SI"/>
        </w:rPr>
        <w:t xml:space="preserve"> so tudi proučevali vpliv šoka s priseljevanjem povezane gospodarskopolitične negotovosti na industrijsko proizvodnjo in brezposelnost </w:t>
      </w:r>
      <w:r w:rsidR="00FB1BEF" w:rsidRPr="00B34381">
        <w:rPr>
          <w:szCs w:val="18"/>
          <w:lang w:val="sl-SI"/>
        </w:rPr>
        <w:t>v Franciji, Nemčiji, ZDA in Združenem kraljestvu. Ugotovili so, da šok s priseljevanjem povezane gospodarskopolitične negotovosti zmanjša industrijsko proizvodnjo v Franciji in ZDA ter jo poveča v Nemčiji in Združenem kraljestvu. Ugotovili so tudi, da šok s priseljevanjem povezane gospodarskopolitične negotovosti zmanjša brezposelnost v Nemčiji, ZDA in Združenem kraljestvu ter jo poveča v Franciji.</w:t>
      </w:r>
    </w:p>
    <w:p w14:paraId="4F1B5B29" w14:textId="77777777" w:rsidR="008B197E" w:rsidRPr="00B34381" w:rsidRDefault="000277C3" w:rsidP="00C770E5">
      <w:pPr>
        <w:pStyle w:val="Heading1"/>
        <w:spacing w:before="120"/>
        <w:rPr>
          <w:sz w:val="18"/>
          <w:szCs w:val="18"/>
          <w:lang w:val="sl-SI"/>
        </w:rPr>
      </w:pPr>
      <w:r w:rsidRPr="00B34381">
        <w:rPr>
          <w:sz w:val="18"/>
          <w:szCs w:val="18"/>
          <w:lang w:val="sl-SI"/>
        </w:rPr>
        <w:t>METODE</w:t>
      </w:r>
    </w:p>
    <w:p w14:paraId="67851D51" w14:textId="5CACE4A8" w:rsidR="00246934" w:rsidRPr="00B34381" w:rsidRDefault="00246934" w:rsidP="001375C1">
      <w:pPr>
        <w:rPr>
          <w:szCs w:val="18"/>
          <w:lang w:val="sl-SI"/>
        </w:rPr>
      </w:pPr>
      <w:r w:rsidRPr="00B34381">
        <w:rPr>
          <w:szCs w:val="18"/>
          <w:lang w:val="sl-SI"/>
        </w:rPr>
        <w:t xml:space="preserve">V tem prispevku </w:t>
      </w:r>
      <w:r w:rsidR="005537D5" w:rsidRPr="00B34381">
        <w:rPr>
          <w:szCs w:val="18"/>
          <w:lang w:val="sl-SI"/>
        </w:rPr>
        <w:t>uporabljamo</w:t>
      </w:r>
      <w:r w:rsidRPr="00B34381">
        <w:rPr>
          <w:szCs w:val="18"/>
          <w:lang w:val="sl-SI"/>
        </w:rPr>
        <w:t xml:space="preserve"> </w:t>
      </w:r>
      <w:r w:rsidR="00DC5CAD" w:rsidRPr="00B34381">
        <w:rPr>
          <w:szCs w:val="18"/>
          <w:lang w:val="sl-SI"/>
        </w:rPr>
        <w:t xml:space="preserve">vektorski </w:t>
      </w:r>
      <w:proofErr w:type="spellStart"/>
      <w:r w:rsidR="00DC5CAD" w:rsidRPr="00B34381">
        <w:rPr>
          <w:szCs w:val="18"/>
          <w:lang w:val="sl-SI"/>
        </w:rPr>
        <w:t>avtoregresijski</w:t>
      </w:r>
      <w:proofErr w:type="spellEnd"/>
      <w:r w:rsidR="00DC5CAD" w:rsidRPr="00B34381">
        <w:rPr>
          <w:szCs w:val="18"/>
          <w:lang w:val="sl-SI"/>
        </w:rPr>
        <w:t xml:space="preserve"> </w:t>
      </w:r>
      <w:r w:rsidR="003B3342" w:rsidRPr="00B34381">
        <w:rPr>
          <w:szCs w:val="18"/>
          <w:lang w:val="sl-SI"/>
        </w:rPr>
        <w:t xml:space="preserve">(VAR) </w:t>
      </w:r>
      <w:r w:rsidRPr="00B34381">
        <w:rPr>
          <w:szCs w:val="18"/>
          <w:lang w:val="sl-SI"/>
        </w:rPr>
        <w:t>model</w:t>
      </w:r>
      <w:r w:rsidR="003B3342" w:rsidRPr="00B34381">
        <w:rPr>
          <w:szCs w:val="18"/>
          <w:lang w:val="sl-SI"/>
        </w:rPr>
        <w:t xml:space="preserve">, </w:t>
      </w:r>
      <w:r w:rsidR="005537D5" w:rsidRPr="00B34381">
        <w:rPr>
          <w:szCs w:val="18"/>
          <w:lang w:val="sl-SI"/>
        </w:rPr>
        <w:t>ki ga zapišemo tako:</w:t>
      </w:r>
    </w:p>
    <w:p w14:paraId="78C29C11" w14:textId="17497E63" w:rsidR="005537D5" w:rsidRPr="00B34381" w:rsidRDefault="00783250" w:rsidP="001375C1">
      <w:pPr>
        <w:rPr>
          <w:szCs w:val="18"/>
          <w:lang w:val="sl-SI"/>
        </w:rPr>
      </w:pPr>
      <m:oMath>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m:t>
            </m:r>
          </m:sub>
        </m:sSub>
        <m:r>
          <w:rPr>
            <w:rFonts w:ascii="Cambria Math" w:hAnsi="Cambria Math"/>
            <w:szCs w:val="18"/>
            <w:lang w:val="sl-SI"/>
          </w:rPr>
          <m:t>=c+</m:t>
        </m:r>
        <m:nary>
          <m:naryPr>
            <m:chr m:val="∑"/>
            <m:limLoc m:val="subSup"/>
            <m:ctrlPr>
              <w:rPr>
                <w:rFonts w:ascii="Cambria Math" w:hAnsi="Cambria Math"/>
                <w:i/>
                <w:szCs w:val="18"/>
                <w:lang w:val="sl-SI"/>
              </w:rPr>
            </m:ctrlPr>
          </m:naryPr>
          <m:sub>
            <m:r>
              <w:rPr>
                <w:rFonts w:ascii="Cambria Math" w:hAnsi="Cambria Math"/>
                <w:szCs w:val="18"/>
                <w:lang w:val="sl-SI"/>
              </w:rPr>
              <m:t>p=1</m:t>
            </m:r>
          </m:sub>
          <m:sup>
            <m:r>
              <w:rPr>
                <w:rFonts w:ascii="Cambria Math" w:hAnsi="Cambria Math"/>
                <w:szCs w:val="18"/>
                <w:lang w:val="sl-SI"/>
              </w:rPr>
              <m:t>L</m:t>
            </m:r>
          </m:sup>
          <m:e>
            <m:sSub>
              <m:sSubPr>
                <m:ctrlPr>
                  <w:rPr>
                    <w:rFonts w:ascii="Cambria Math" w:hAnsi="Cambria Math"/>
                    <w:i/>
                    <w:szCs w:val="18"/>
                    <w:lang w:val="sl-SI"/>
                  </w:rPr>
                </m:ctrlPr>
              </m:sSubPr>
              <m:e>
                <m:r>
                  <w:rPr>
                    <w:rFonts w:ascii="Cambria Math" w:hAnsi="Cambria Math"/>
                    <w:szCs w:val="18"/>
                    <w:lang w:val="sl-SI"/>
                  </w:rPr>
                  <m:t>A</m:t>
                </m:r>
              </m:e>
              <m:sub>
                <m:r>
                  <w:rPr>
                    <w:rFonts w:ascii="Cambria Math" w:hAnsi="Cambria Math"/>
                    <w:szCs w:val="18"/>
                    <w:lang w:val="sl-SI"/>
                  </w:rPr>
                  <m:t xml:space="preserve">p </m:t>
                </m:r>
              </m:sub>
            </m:sSub>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t-p</m:t>
                </m:r>
              </m:sub>
            </m:sSub>
            <m:r>
              <w:rPr>
                <w:rFonts w:ascii="Cambria Math" w:hAnsi="Cambria Math"/>
                <w:szCs w:val="18"/>
                <w:lang w:val="sl-SI"/>
              </w:rPr>
              <m:t>+</m:t>
            </m:r>
            <m:sSub>
              <m:sSubPr>
                <m:ctrlPr>
                  <w:rPr>
                    <w:rFonts w:ascii="Cambria Math" w:hAnsi="Cambria Math"/>
                    <w:i/>
                    <w:szCs w:val="18"/>
                    <w:lang w:val="sl-SI"/>
                  </w:rPr>
                </m:ctrlPr>
              </m:sSubPr>
              <m:e>
                <m:r>
                  <w:rPr>
                    <w:rFonts w:ascii="Cambria Math" w:hAnsi="Cambria Math"/>
                    <w:szCs w:val="18"/>
                    <w:lang w:val="sl-SI"/>
                  </w:rPr>
                  <m:t>e</m:t>
                </m:r>
              </m:e>
              <m:sub>
                <m:r>
                  <w:rPr>
                    <w:rFonts w:ascii="Cambria Math" w:hAnsi="Cambria Math"/>
                    <w:szCs w:val="18"/>
                    <w:lang w:val="sl-SI"/>
                  </w:rPr>
                  <m:t>t</m:t>
                </m:r>
              </m:sub>
            </m:sSub>
          </m:e>
        </m:nary>
      </m:oMath>
      <w:r w:rsidR="005537D5" w:rsidRPr="00B34381">
        <w:rPr>
          <w:szCs w:val="18"/>
          <w:lang w:val="sl-SI"/>
        </w:rPr>
        <w:t>,</w:t>
      </w:r>
      <w:r w:rsidR="00276B9B" w:rsidRPr="00B34381">
        <w:rPr>
          <w:szCs w:val="18"/>
          <w:lang w:val="sl-SI"/>
        </w:rPr>
        <w:t xml:space="preserve"> </w:t>
      </w:r>
      <m:oMath>
        <m:r>
          <w:rPr>
            <w:rFonts w:ascii="Cambria Math" w:hAnsi="Cambria Math"/>
            <w:szCs w:val="18"/>
            <w:lang w:val="sl-SI"/>
          </w:rPr>
          <m:t>t=1,…,N</m:t>
        </m:r>
      </m:oMath>
      <w:r w:rsidR="00276B9B" w:rsidRPr="00B34381">
        <w:rPr>
          <w:szCs w:val="18"/>
          <w:lang w:val="sl-SI"/>
        </w:rPr>
        <w:t>,</w:t>
      </w:r>
    </w:p>
    <w:p w14:paraId="5CEA2ABD" w14:textId="5D07C41F" w:rsidR="003B3342" w:rsidRPr="00B34381" w:rsidRDefault="00DC5CAD" w:rsidP="001375C1">
      <w:pPr>
        <w:rPr>
          <w:szCs w:val="18"/>
          <w:lang w:val="sl-SI"/>
        </w:rPr>
      </w:pPr>
      <w:r w:rsidRPr="00B34381">
        <w:rPr>
          <w:szCs w:val="18"/>
          <w:lang w:val="sl-SI"/>
        </w:rPr>
        <w:t>kjer so</w:t>
      </w:r>
      <w:r w:rsidR="003B3342" w:rsidRPr="00B34381">
        <w:rPr>
          <w:szCs w:val="18"/>
          <w:lang w:val="sl-SI"/>
        </w:rPr>
        <w:t xml:space="preserve"> </w:t>
      </w:r>
      <m:oMath>
        <m:sSub>
          <m:sSubPr>
            <m:ctrlPr>
              <w:rPr>
                <w:rFonts w:ascii="Cambria Math" w:hAnsi="Cambria Math"/>
                <w:i/>
                <w:szCs w:val="18"/>
                <w:lang w:val="sl-SI"/>
              </w:rPr>
            </m:ctrlPr>
          </m:sSubPr>
          <m:e>
            <m:r>
              <w:rPr>
                <w:rFonts w:ascii="Cambria Math" w:hAnsi="Cambria Math"/>
                <w:szCs w:val="18"/>
                <w:lang w:val="sl-SI"/>
              </w:rPr>
              <m:t>y</m:t>
            </m:r>
          </m:e>
          <m:sub>
            <m:r>
              <w:rPr>
                <w:rFonts w:ascii="Cambria Math" w:hAnsi="Cambria Math"/>
                <w:szCs w:val="18"/>
                <w:lang w:val="sl-SI"/>
              </w:rPr>
              <m:t>t</m:t>
            </m:r>
          </m:sub>
        </m:sSub>
      </m:oMath>
      <w:r w:rsidR="003B3342" w:rsidRPr="00B34381">
        <w:rPr>
          <w:szCs w:val="18"/>
          <w:lang w:val="sl-SI"/>
        </w:rPr>
        <w:t xml:space="preserve"> vektor endogenih spremenljivk</w:t>
      </w:r>
      <w:r w:rsidR="00276B9B" w:rsidRPr="00B34381">
        <w:rPr>
          <w:szCs w:val="18"/>
          <w:lang w:val="sl-SI"/>
        </w:rPr>
        <w:t xml:space="preserve"> v času </w:t>
      </w:r>
      <m:oMath>
        <m:r>
          <w:rPr>
            <w:rFonts w:ascii="Cambria Math" w:hAnsi="Cambria Math"/>
            <w:szCs w:val="18"/>
            <w:lang w:val="sl-SI"/>
          </w:rPr>
          <m:t>t</m:t>
        </m:r>
      </m:oMath>
      <w:r w:rsidR="003B3342" w:rsidRPr="00B34381">
        <w:rPr>
          <w:szCs w:val="18"/>
          <w:lang w:val="sl-SI"/>
        </w:rPr>
        <w:t xml:space="preserve">, </w:t>
      </w:r>
      <m:oMath>
        <m:r>
          <w:rPr>
            <w:rFonts w:ascii="Cambria Math" w:hAnsi="Cambria Math"/>
            <w:szCs w:val="18"/>
            <w:lang w:val="sl-SI"/>
          </w:rPr>
          <m:t>c</m:t>
        </m:r>
      </m:oMath>
      <w:r w:rsidR="003B3342" w:rsidRPr="00B34381">
        <w:rPr>
          <w:szCs w:val="18"/>
          <w:lang w:val="sl-SI"/>
        </w:rPr>
        <w:t xml:space="preserve"> konstanta, </w:t>
      </w:r>
      <m:oMath>
        <m:sSub>
          <m:sSubPr>
            <m:ctrlPr>
              <w:rPr>
                <w:rFonts w:ascii="Cambria Math" w:hAnsi="Cambria Math"/>
                <w:i/>
                <w:szCs w:val="18"/>
                <w:lang w:val="sl-SI"/>
              </w:rPr>
            </m:ctrlPr>
          </m:sSubPr>
          <m:e>
            <m:r>
              <w:rPr>
                <w:rFonts w:ascii="Cambria Math" w:hAnsi="Cambria Math"/>
                <w:szCs w:val="18"/>
                <w:lang w:val="sl-SI"/>
              </w:rPr>
              <m:t>A</m:t>
            </m:r>
          </m:e>
          <m:sub>
            <m:r>
              <w:rPr>
                <w:rFonts w:ascii="Cambria Math" w:hAnsi="Cambria Math"/>
                <w:szCs w:val="18"/>
                <w:lang w:val="sl-SI"/>
              </w:rPr>
              <m:t>p</m:t>
            </m:r>
          </m:sub>
        </m:sSub>
      </m:oMath>
      <w:r w:rsidR="003B3342" w:rsidRPr="00B34381">
        <w:rPr>
          <w:szCs w:val="18"/>
          <w:lang w:val="sl-SI"/>
        </w:rPr>
        <w:t xml:space="preserve"> vektor regresijskih koeficientov, </w:t>
      </w:r>
      <m:oMath>
        <m:sSub>
          <m:sSubPr>
            <m:ctrlPr>
              <w:rPr>
                <w:rFonts w:ascii="Cambria Math" w:hAnsi="Cambria Math"/>
                <w:i/>
                <w:szCs w:val="18"/>
                <w:lang w:val="sl-SI"/>
              </w:rPr>
            </m:ctrlPr>
          </m:sSubPr>
          <m:e>
            <m:r>
              <w:rPr>
                <w:rFonts w:ascii="Cambria Math" w:hAnsi="Cambria Math"/>
                <w:szCs w:val="18"/>
                <w:lang w:val="sl-SI"/>
              </w:rPr>
              <m:t>e</m:t>
            </m:r>
          </m:e>
          <m:sub>
            <m:r>
              <w:rPr>
                <w:rFonts w:ascii="Cambria Math" w:hAnsi="Cambria Math"/>
                <w:szCs w:val="18"/>
                <w:lang w:val="sl-SI"/>
              </w:rPr>
              <m:t>t</m:t>
            </m:r>
          </m:sub>
        </m:sSub>
      </m:oMath>
      <w:r w:rsidR="003B3342" w:rsidRPr="00B34381">
        <w:rPr>
          <w:szCs w:val="18"/>
          <w:lang w:val="sl-SI"/>
        </w:rPr>
        <w:t xml:space="preserve"> napaka, </w:t>
      </w:r>
      <m:oMath>
        <m:r>
          <w:rPr>
            <w:rFonts w:ascii="Cambria Math" w:hAnsi="Cambria Math"/>
            <w:szCs w:val="18"/>
            <w:lang w:val="sl-SI"/>
          </w:rPr>
          <m:t>t</m:t>
        </m:r>
      </m:oMath>
      <w:r w:rsidR="003B3342" w:rsidRPr="00B34381">
        <w:rPr>
          <w:szCs w:val="18"/>
          <w:lang w:val="sl-SI"/>
        </w:rPr>
        <w:t xml:space="preserve"> čas in </w:t>
      </w:r>
      <m:oMath>
        <m:r>
          <w:rPr>
            <w:rFonts w:ascii="Cambria Math" w:hAnsi="Cambria Math"/>
            <w:szCs w:val="18"/>
            <w:lang w:val="sl-SI"/>
          </w:rPr>
          <m:t>L</m:t>
        </m:r>
      </m:oMath>
      <w:r w:rsidR="003B3342" w:rsidRPr="00B34381">
        <w:rPr>
          <w:szCs w:val="18"/>
          <w:lang w:val="sl-SI"/>
        </w:rPr>
        <w:t xml:space="preserve"> odlog</w:t>
      </w:r>
      <w:r w:rsidR="00276B9B" w:rsidRPr="00B34381">
        <w:rPr>
          <w:szCs w:val="18"/>
          <w:lang w:val="sl-SI"/>
        </w:rPr>
        <w:t>,</w:t>
      </w:r>
      <w:r w:rsidR="008227DB" w:rsidRPr="00B34381">
        <w:rPr>
          <w:szCs w:val="18"/>
          <w:lang w:val="sl-SI"/>
        </w:rPr>
        <w:t xml:space="preserve"> </w:t>
      </w:r>
      <w:r w:rsidR="003B3342" w:rsidRPr="00B34381">
        <w:rPr>
          <w:szCs w:val="18"/>
          <w:lang w:val="sl-SI"/>
        </w:rPr>
        <w:t>izbran na podlagi kriterijev FPE</w:t>
      </w:r>
      <w:r w:rsidR="008227DB" w:rsidRPr="00B34381">
        <w:rPr>
          <w:szCs w:val="18"/>
          <w:lang w:val="sl-SI"/>
        </w:rPr>
        <w:t xml:space="preserve"> (= kratica za </w:t>
      </w:r>
      <w:r w:rsidR="008227DB" w:rsidRPr="00B34381">
        <w:rPr>
          <w:i/>
          <w:iCs/>
          <w:szCs w:val="18"/>
          <w:lang w:val="en-GB"/>
        </w:rPr>
        <w:t>F(</w:t>
      </w:r>
      <w:proofErr w:type="spellStart"/>
      <w:r w:rsidR="008227DB" w:rsidRPr="00B34381">
        <w:rPr>
          <w:i/>
          <w:iCs/>
          <w:szCs w:val="18"/>
          <w:lang w:val="en-GB"/>
        </w:rPr>
        <w:t>inal</w:t>
      </w:r>
      <w:proofErr w:type="spellEnd"/>
      <w:r w:rsidR="008227DB" w:rsidRPr="00B34381">
        <w:rPr>
          <w:i/>
          <w:iCs/>
          <w:szCs w:val="18"/>
          <w:lang w:val="en-GB"/>
        </w:rPr>
        <w:t>) P(</w:t>
      </w:r>
      <w:proofErr w:type="spellStart"/>
      <w:r w:rsidR="008227DB" w:rsidRPr="00B34381">
        <w:rPr>
          <w:i/>
          <w:iCs/>
          <w:szCs w:val="18"/>
          <w:lang w:val="en-GB"/>
        </w:rPr>
        <w:t>rediction</w:t>
      </w:r>
      <w:proofErr w:type="spellEnd"/>
      <w:r w:rsidR="008227DB" w:rsidRPr="00B34381">
        <w:rPr>
          <w:i/>
          <w:iCs/>
          <w:szCs w:val="18"/>
          <w:lang w:val="en-GB"/>
        </w:rPr>
        <w:t>) E(</w:t>
      </w:r>
      <w:proofErr w:type="spellStart"/>
      <w:r w:rsidR="008227DB" w:rsidRPr="00B34381">
        <w:rPr>
          <w:i/>
          <w:iCs/>
          <w:szCs w:val="18"/>
          <w:lang w:val="en-GB"/>
        </w:rPr>
        <w:t>rror</w:t>
      </w:r>
      <w:proofErr w:type="spellEnd"/>
      <w:r w:rsidR="008227DB" w:rsidRPr="00B34381">
        <w:rPr>
          <w:i/>
          <w:iCs/>
          <w:szCs w:val="18"/>
          <w:lang w:val="en-GB"/>
        </w:rPr>
        <w:t>)</w:t>
      </w:r>
      <w:r w:rsidR="008227DB" w:rsidRPr="00B34381">
        <w:rPr>
          <w:szCs w:val="18"/>
          <w:lang w:val="sl-SI"/>
        </w:rPr>
        <w:t>)</w:t>
      </w:r>
      <w:r w:rsidR="003B3342" w:rsidRPr="00B34381">
        <w:rPr>
          <w:szCs w:val="18"/>
          <w:lang w:val="sl-SI"/>
        </w:rPr>
        <w:t xml:space="preserve"> in AIC</w:t>
      </w:r>
      <w:r w:rsidR="008227DB" w:rsidRPr="00B34381">
        <w:rPr>
          <w:szCs w:val="18"/>
          <w:lang w:val="sl-SI"/>
        </w:rPr>
        <w:t xml:space="preserve"> (= kratica za </w:t>
      </w:r>
      <w:r w:rsidR="008227DB" w:rsidRPr="00B34381">
        <w:rPr>
          <w:i/>
          <w:iCs/>
          <w:szCs w:val="18"/>
          <w:lang w:val="en-GB"/>
        </w:rPr>
        <w:t>A</w:t>
      </w:r>
      <w:r w:rsidR="002F4B23" w:rsidRPr="00B34381">
        <w:rPr>
          <w:i/>
          <w:iCs/>
          <w:szCs w:val="18"/>
          <w:lang w:val="en-GB"/>
        </w:rPr>
        <w:t>(</w:t>
      </w:r>
      <w:proofErr w:type="spellStart"/>
      <w:r w:rsidR="008227DB" w:rsidRPr="00B34381">
        <w:rPr>
          <w:i/>
          <w:iCs/>
          <w:szCs w:val="18"/>
          <w:lang w:val="en-GB"/>
        </w:rPr>
        <w:t>kaike</w:t>
      </w:r>
      <w:proofErr w:type="spellEnd"/>
      <w:r w:rsidR="002F4B23" w:rsidRPr="00B34381">
        <w:rPr>
          <w:i/>
          <w:iCs/>
          <w:szCs w:val="18"/>
          <w:lang w:val="en-GB"/>
        </w:rPr>
        <w:t>)</w:t>
      </w:r>
      <w:r w:rsidR="008227DB" w:rsidRPr="00B34381">
        <w:rPr>
          <w:i/>
          <w:iCs/>
          <w:szCs w:val="18"/>
          <w:lang w:val="en-GB"/>
        </w:rPr>
        <w:t xml:space="preserve"> </w:t>
      </w:r>
      <w:r w:rsidR="002F4B23" w:rsidRPr="00B34381">
        <w:rPr>
          <w:i/>
          <w:iCs/>
          <w:szCs w:val="18"/>
          <w:lang w:val="en-GB"/>
        </w:rPr>
        <w:t>I(</w:t>
      </w:r>
      <w:proofErr w:type="spellStart"/>
      <w:r w:rsidR="008227DB" w:rsidRPr="00B34381">
        <w:rPr>
          <w:i/>
          <w:iCs/>
          <w:szCs w:val="18"/>
          <w:lang w:val="en-GB"/>
        </w:rPr>
        <w:t>nformation</w:t>
      </w:r>
      <w:proofErr w:type="spellEnd"/>
      <w:r w:rsidR="002F4B23" w:rsidRPr="00B34381">
        <w:rPr>
          <w:i/>
          <w:iCs/>
          <w:szCs w:val="18"/>
          <w:lang w:val="en-GB"/>
        </w:rPr>
        <w:t>)</w:t>
      </w:r>
      <w:r w:rsidR="008227DB" w:rsidRPr="00B34381">
        <w:rPr>
          <w:i/>
          <w:iCs/>
          <w:szCs w:val="18"/>
          <w:lang w:val="en-GB"/>
        </w:rPr>
        <w:t xml:space="preserve"> </w:t>
      </w:r>
      <w:r w:rsidR="002F4B23" w:rsidRPr="00B34381">
        <w:rPr>
          <w:i/>
          <w:iCs/>
          <w:szCs w:val="18"/>
          <w:lang w:val="en-GB"/>
        </w:rPr>
        <w:t>C(</w:t>
      </w:r>
      <w:proofErr w:type="spellStart"/>
      <w:r w:rsidR="008227DB" w:rsidRPr="00B34381">
        <w:rPr>
          <w:i/>
          <w:iCs/>
          <w:szCs w:val="18"/>
          <w:lang w:val="en-GB"/>
        </w:rPr>
        <w:t>riterion</w:t>
      </w:r>
      <w:proofErr w:type="spellEnd"/>
      <w:r w:rsidR="002F4B23" w:rsidRPr="00B34381">
        <w:rPr>
          <w:i/>
          <w:iCs/>
          <w:szCs w:val="18"/>
          <w:lang w:val="en-GB"/>
        </w:rPr>
        <w:t>)</w:t>
      </w:r>
      <w:r w:rsidR="002F4B23" w:rsidRPr="00B34381">
        <w:rPr>
          <w:szCs w:val="18"/>
          <w:lang w:val="sl-SI"/>
        </w:rPr>
        <w:t>).</w:t>
      </w:r>
    </w:p>
    <w:p w14:paraId="1E768A86" w14:textId="3C0D5FB1" w:rsidR="007F7C34" w:rsidRPr="00B34381" w:rsidRDefault="005A7186" w:rsidP="00945D7F">
      <w:pPr>
        <w:rPr>
          <w:szCs w:val="18"/>
          <w:lang w:val="sl-SI"/>
        </w:rPr>
      </w:pPr>
      <w:r w:rsidRPr="00B34381">
        <w:rPr>
          <w:szCs w:val="18"/>
          <w:lang w:val="sl-SI"/>
        </w:rPr>
        <w:t xml:space="preserve">V tem prispevku uporabljamo tudi </w:t>
      </w:r>
      <w:proofErr w:type="spellStart"/>
      <w:r w:rsidR="004D59C8" w:rsidRPr="00B34381">
        <w:rPr>
          <w:szCs w:val="18"/>
          <w:lang w:val="sl-SI"/>
        </w:rPr>
        <w:t>Choleskyjevo</w:t>
      </w:r>
      <w:proofErr w:type="spellEnd"/>
      <w:r w:rsidR="004D59C8" w:rsidRPr="00B34381">
        <w:rPr>
          <w:szCs w:val="18"/>
          <w:lang w:val="sl-SI"/>
        </w:rPr>
        <w:t xml:space="preserve"> dekompozicijo</w:t>
      </w:r>
      <w:r w:rsidR="00C03599" w:rsidRPr="00B34381">
        <w:rPr>
          <w:szCs w:val="18"/>
          <w:lang w:val="sl-SI"/>
        </w:rPr>
        <w:t xml:space="preserve"> (angl. </w:t>
      </w:r>
      <w:r w:rsidR="00C03599" w:rsidRPr="00B34381">
        <w:rPr>
          <w:i/>
          <w:iCs/>
          <w:szCs w:val="18"/>
          <w:lang w:val="en-GB"/>
        </w:rPr>
        <w:t>Cholesky decomposition</w:t>
      </w:r>
      <w:r w:rsidR="00C03599" w:rsidRPr="00B34381">
        <w:rPr>
          <w:szCs w:val="18"/>
          <w:lang w:val="sl-SI"/>
        </w:rPr>
        <w:t>)</w:t>
      </w:r>
      <w:r w:rsidR="004D59C8" w:rsidRPr="00B34381">
        <w:rPr>
          <w:szCs w:val="18"/>
          <w:lang w:val="sl-SI"/>
        </w:rPr>
        <w:t>. Vrstni red spremenljivk je: epu, (</w:t>
      </w:r>
      <w:proofErr w:type="spellStart"/>
      <w:r w:rsidR="004D59C8" w:rsidRPr="00B34381">
        <w:rPr>
          <w:szCs w:val="18"/>
          <w:lang w:val="sl-SI"/>
        </w:rPr>
        <w:t>mepu</w:t>
      </w:r>
      <w:proofErr w:type="spellEnd"/>
      <w:r w:rsidR="004D59C8" w:rsidRPr="00B34381">
        <w:rPr>
          <w:szCs w:val="18"/>
          <w:lang w:val="sl-SI"/>
        </w:rPr>
        <w:t xml:space="preserve">), </w:t>
      </w:r>
      <w:proofErr w:type="spellStart"/>
      <w:r w:rsidR="004D59C8" w:rsidRPr="00B34381">
        <w:rPr>
          <w:szCs w:val="18"/>
          <w:lang w:val="sl-SI"/>
        </w:rPr>
        <w:t>ir</w:t>
      </w:r>
      <w:proofErr w:type="spellEnd"/>
      <w:r w:rsidR="004D59C8" w:rsidRPr="00B34381">
        <w:rPr>
          <w:szCs w:val="18"/>
          <w:lang w:val="sl-SI"/>
        </w:rPr>
        <w:t xml:space="preserve">, </w:t>
      </w:r>
      <w:proofErr w:type="spellStart"/>
      <w:r w:rsidR="004D59C8" w:rsidRPr="00B34381">
        <w:rPr>
          <w:szCs w:val="18"/>
          <w:lang w:val="sl-SI"/>
        </w:rPr>
        <w:t>logipi</w:t>
      </w:r>
      <w:proofErr w:type="spellEnd"/>
      <w:r w:rsidR="004D59C8" w:rsidRPr="00B34381">
        <w:rPr>
          <w:szCs w:val="18"/>
          <w:lang w:val="sl-SI"/>
        </w:rPr>
        <w:t xml:space="preserve">, </w:t>
      </w:r>
      <w:proofErr w:type="spellStart"/>
      <w:r w:rsidR="004D59C8" w:rsidRPr="00B34381">
        <w:rPr>
          <w:szCs w:val="18"/>
          <w:lang w:val="sl-SI"/>
        </w:rPr>
        <w:t>logsp</w:t>
      </w:r>
      <w:proofErr w:type="spellEnd"/>
      <w:r w:rsidR="004D59C8" w:rsidRPr="00B34381">
        <w:rPr>
          <w:szCs w:val="18"/>
          <w:lang w:val="sl-SI"/>
        </w:rPr>
        <w:t xml:space="preserve">, </w:t>
      </w:r>
      <w:proofErr w:type="spellStart"/>
      <w:r w:rsidR="004D59C8" w:rsidRPr="00B34381">
        <w:rPr>
          <w:szCs w:val="18"/>
          <w:lang w:val="sl-SI"/>
        </w:rPr>
        <w:t>logunrate</w:t>
      </w:r>
      <w:proofErr w:type="spellEnd"/>
      <w:r w:rsidR="00206121" w:rsidRPr="00B34381">
        <w:rPr>
          <w:szCs w:val="18"/>
          <w:lang w:val="sl-SI"/>
        </w:rPr>
        <w:t xml:space="preserve"> (</w:t>
      </w:r>
      <w:r w:rsidR="005D686F" w:rsidRPr="00B34381">
        <w:rPr>
          <w:szCs w:val="18"/>
          <w:lang w:val="sl-SI"/>
        </w:rPr>
        <w:t xml:space="preserve">prim. </w:t>
      </w:r>
      <w:r w:rsidR="00E7233B" w:rsidRPr="00B34381">
        <w:rPr>
          <w:szCs w:val="18"/>
          <w:lang w:val="sl-SI"/>
        </w:rPr>
        <w:t>[13]</w:t>
      </w:r>
      <w:r w:rsidR="00206121" w:rsidRPr="00B34381">
        <w:rPr>
          <w:szCs w:val="18"/>
          <w:lang w:val="sl-SI"/>
        </w:rPr>
        <w:t>).</w:t>
      </w:r>
      <w:r w:rsidR="0003399C" w:rsidRPr="00B34381">
        <w:rPr>
          <w:szCs w:val="18"/>
          <w:lang w:val="sl-SI"/>
        </w:rPr>
        <w:t xml:space="preserve"> </w:t>
      </w:r>
      <w:r w:rsidR="007F7C34" w:rsidRPr="00B34381">
        <w:rPr>
          <w:szCs w:val="18"/>
          <w:lang w:val="sl-SI"/>
        </w:rPr>
        <w:t>V tabeli 2 podajamo</w:t>
      </w:r>
      <w:r w:rsidR="0003399C" w:rsidRPr="00B34381">
        <w:rPr>
          <w:szCs w:val="18"/>
          <w:lang w:val="sl-SI"/>
        </w:rPr>
        <w:t xml:space="preserve"> njihov opis</w:t>
      </w:r>
      <w:r w:rsidR="007F7C34" w:rsidRPr="00B34381">
        <w:rPr>
          <w:szCs w:val="18"/>
          <w:lang w:val="sl-SI"/>
        </w:rPr>
        <w:t>.</w:t>
      </w:r>
      <w:r w:rsidR="00276B9B" w:rsidRPr="00B34381">
        <w:rPr>
          <w:szCs w:val="18"/>
          <w:lang w:val="sl-SI"/>
        </w:rPr>
        <w:t xml:space="preserve"> V </w:t>
      </w:r>
      <w:r w:rsidR="002F4B23" w:rsidRPr="00B34381">
        <w:rPr>
          <w:szCs w:val="18"/>
          <w:lang w:val="sl-SI"/>
        </w:rPr>
        <w:t xml:space="preserve">primeru </w:t>
      </w:r>
      <w:r w:rsidR="00C00605" w:rsidRPr="00B34381">
        <w:rPr>
          <w:szCs w:val="18"/>
          <w:lang w:val="sl-SI"/>
        </w:rPr>
        <w:t>Francije in ZDA</w:t>
      </w:r>
      <w:r w:rsidR="00276B9B" w:rsidRPr="00B34381">
        <w:rPr>
          <w:szCs w:val="18"/>
          <w:lang w:val="sl-SI"/>
        </w:rPr>
        <w:t xml:space="preserve"> uporabljamo četrtletne podatke za </w:t>
      </w:r>
      <w:r w:rsidR="002F4B23" w:rsidRPr="00B34381">
        <w:rPr>
          <w:szCs w:val="18"/>
          <w:lang w:val="sl-SI"/>
        </w:rPr>
        <w:t xml:space="preserve">obdobje </w:t>
      </w:r>
      <w:r w:rsidR="00276B9B" w:rsidRPr="00B34381">
        <w:rPr>
          <w:szCs w:val="18"/>
          <w:lang w:val="sl-SI"/>
        </w:rPr>
        <w:t xml:space="preserve">od </w:t>
      </w:r>
      <w:r w:rsidR="002F4B23" w:rsidRPr="00B34381">
        <w:rPr>
          <w:szCs w:val="18"/>
          <w:lang w:val="sl-SI"/>
        </w:rPr>
        <w:t xml:space="preserve">prvega četrtletja 1991 </w:t>
      </w:r>
      <w:r w:rsidR="00276B9B" w:rsidRPr="00B34381">
        <w:rPr>
          <w:szCs w:val="18"/>
          <w:lang w:val="sl-SI"/>
        </w:rPr>
        <w:t xml:space="preserve">do </w:t>
      </w:r>
      <w:r w:rsidR="002F4B23" w:rsidRPr="00B34381">
        <w:rPr>
          <w:szCs w:val="18"/>
          <w:lang w:val="sl-SI"/>
        </w:rPr>
        <w:t>zadnjega četrtletja 2018</w:t>
      </w:r>
      <w:r w:rsidR="00C00605" w:rsidRPr="00B34381">
        <w:rPr>
          <w:szCs w:val="18"/>
          <w:lang w:val="sl-SI"/>
        </w:rPr>
        <w:t>, v primeru Nemčije in Združenega kraljestva pa četrtletne podatke od prvega četrtletja 1993 oz. 1997 do zadnjega četrtletja 2018.</w:t>
      </w:r>
    </w:p>
    <w:p w14:paraId="44AD05CE" w14:textId="77777777" w:rsidR="001375C1" w:rsidRPr="00B34381" w:rsidRDefault="001375C1" w:rsidP="003A3DD0">
      <w:pPr>
        <w:keepNext/>
        <w:keepLines/>
        <w:widowControl w:val="0"/>
        <w:rPr>
          <w:b/>
          <w:bCs/>
          <w:szCs w:val="18"/>
          <w:lang w:val="sl-SI"/>
        </w:rPr>
      </w:pPr>
      <w:r w:rsidRPr="00B34381">
        <w:rPr>
          <w:b/>
          <w:bCs/>
          <w:szCs w:val="18"/>
          <w:lang w:val="sl-SI"/>
        </w:rPr>
        <w:t xml:space="preserve">Tabela </w:t>
      </w:r>
      <w:r w:rsidR="0072439A" w:rsidRPr="00B34381">
        <w:rPr>
          <w:b/>
          <w:bCs/>
          <w:szCs w:val="18"/>
          <w:lang w:val="sl-SI"/>
        </w:rPr>
        <w:t>2</w:t>
      </w:r>
      <w:r w:rsidRPr="00B34381">
        <w:rPr>
          <w:b/>
          <w:bCs/>
          <w:szCs w:val="18"/>
          <w:lang w:val="sl-SI"/>
        </w:rPr>
        <w:t xml:space="preserve">: </w:t>
      </w:r>
      <w:r w:rsidR="00E20CF1" w:rsidRPr="00B34381">
        <w:rPr>
          <w:b/>
          <w:bCs/>
          <w:szCs w:val="18"/>
          <w:lang w:val="sl-SI"/>
        </w:rPr>
        <w:t xml:space="preserve">Opis </w:t>
      </w:r>
      <w:r w:rsidR="001445C3" w:rsidRPr="00B34381">
        <w:rPr>
          <w:b/>
          <w:bCs/>
          <w:szCs w:val="18"/>
          <w:lang w:val="sl-SI"/>
        </w:rPr>
        <w:t>spremenljivk</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25"/>
        <w:gridCol w:w="2396"/>
        <w:gridCol w:w="1081"/>
      </w:tblGrid>
      <w:tr w:rsidR="0072439A" w:rsidRPr="00B34381" w14:paraId="6A8C0083" w14:textId="77777777" w:rsidTr="0072439A">
        <w:tc>
          <w:tcPr>
            <w:tcW w:w="1379" w:type="pct"/>
            <w:tcBorders>
              <w:top w:val="double" w:sz="4" w:space="0" w:color="auto"/>
              <w:bottom w:val="single" w:sz="4" w:space="0" w:color="auto"/>
            </w:tcBorders>
            <w:shd w:val="clear" w:color="auto" w:fill="auto"/>
          </w:tcPr>
          <w:p w14:paraId="3CC4827B" w14:textId="77777777" w:rsidR="0072439A" w:rsidRPr="00B34381" w:rsidRDefault="0072439A" w:rsidP="003A3DD0">
            <w:pPr>
              <w:keepNext/>
              <w:keepLines/>
              <w:widowControl w:val="0"/>
              <w:spacing w:after="0"/>
              <w:jc w:val="center"/>
              <w:rPr>
                <w:szCs w:val="18"/>
                <w:lang w:val="sl-SI"/>
              </w:rPr>
            </w:pPr>
            <w:r w:rsidRPr="00B34381">
              <w:rPr>
                <w:szCs w:val="18"/>
                <w:lang w:val="sl-SI"/>
              </w:rPr>
              <w:t>Spremenljivka</w:t>
            </w:r>
          </w:p>
        </w:tc>
        <w:tc>
          <w:tcPr>
            <w:tcW w:w="2495" w:type="pct"/>
            <w:tcBorders>
              <w:top w:val="double" w:sz="4" w:space="0" w:color="auto"/>
              <w:bottom w:val="single" w:sz="4" w:space="0" w:color="auto"/>
            </w:tcBorders>
            <w:shd w:val="clear" w:color="auto" w:fill="auto"/>
          </w:tcPr>
          <w:p w14:paraId="59CE8FEF" w14:textId="77777777" w:rsidR="0072439A" w:rsidRPr="00B34381" w:rsidRDefault="001445C3" w:rsidP="003A3DD0">
            <w:pPr>
              <w:keepNext/>
              <w:keepLines/>
              <w:widowControl w:val="0"/>
              <w:spacing w:after="0"/>
              <w:jc w:val="center"/>
              <w:rPr>
                <w:szCs w:val="18"/>
                <w:lang w:val="sl-SI"/>
              </w:rPr>
            </w:pPr>
            <w:r w:rsidRPr="00B34381">
              <w:rPr>
                <w:szCs w:val="18"/>
                <w:lang w:val="sl-SI"/>
              </w:rPr>
              <w:t>Opis</w:t>
            </w:r>
          </w:p>
        </w:tc>
        <w:tc>
          <w:tcPr>
            <w:tcW w:w="1126" w:type="pct"/>
            <w:tcBorders>
              <w:top w:val="double" w:sz="4" w:space="0" w:color="auto"/>
              <w:bottom w:val="single" w:sz="4" w:space="0" w:color="auto"/>
            </w:tcBorders>
            <w:shd w:val="clear" w:color="auto" w:fill="auto"/>
          </w:tcPr>
          <w:p w14:paraId="6474A933" w14:textId="77777777" w:rsidR="0072439A" w:rsidRPr="00B34381" w:rsidRDefault="0072439A" w:rsidP="003A3DD0">
            <w:pPr>
              <w:keepNext/>
              <w:keepLines/>
              <w:widowControl w:val="0"/>
              <w:spacing w:after="0"/>
              <w:jc w:val="center"/>
              <w:rPr>
                <w:szCs w:val="18"/>
                <w:lang w:val="sl-SI"/>
              </w:rPr>
            </w:pPr>
            <w:r w:rsidRPr="00B34381">
              <w:rPr>
                <w:szCs w:val="18"/>
                <w:lang w:val="sl-SI"/>
              </w:rPr>
              <w:t>Vir</w:t>
            </w:r>
          </w:p>
        </w:tc>
      </w:tr>
      <w:tr w:rsidR="00B64D74" w:rsidRPr="00B34381" w14:paraId="622B02FA" w14:textId="77777777" w:rsidTr="0072439A">
        <w:tc>
          <w:tcPr>
            <w:tcW w:w="1379" w:type="pct"/>
            <w:tcBorders>
              <w:bottom w:val="nil"/>
            </w:tcBorders>
            <w:shd w:val="clear" w:color="auto" w:fill="auto"/>
          </w:tcPr>
          <w:p w14:paraId="17FC8C84" w14:textId="77777777" w:rsidR="00B64D74" w:rsidRPr="00B34381" w:rsidRDefault="00B64D74" w:rsidP="003A3DD0">
            <w:pPr>
              <w:keepNext/>
              <w:keepLines/>
              <w:widowControl w:val="0"/>
              <w:spacing w:after="0"/>
              <w:rPr>
                <w:szCs w:val="18"/>
                <w:lang w:val="sl-SI"/>
              </w:rPr>
            </w:pPr>
            <w:r w:rsidRPr="00B34381">
              <w:rPr>
                <w:szCs w:val="18"/>
                <w:lang w:val="sl-SI"/>
              </w:rPr>
              <w:t>epu</w:t>
            </w:r>
          </w:p>
        </w:tc>
        <w:tc>
          <w:tcPr>
            <w:tcW w:w="2495" w:type="pct"/>
            <w:tcBorders>
              <w:bottom w:val="nil"/>
            </w:tcBorders>
            <w:shd w:val="clear" w:color="auto" w:fill="auto"/>
          </w:tcPr>
          <w:p w14:paraId="4EA75F25" w14:textId="77777777" w:rsidR="00B64D74" w:rsidRPr="00B34381" w:rsidRDefault="00B64D74" w:rsidP="003A3DD0">
            <w:pPr>
              <w:keepNext/>
              <w:keepLines/>
              <w:widowControl w:val="0"/>
              <w:spacing w:after="0"/>
              <w:jc w:val="left"/>
              <w:rPr>
                <w:szCs w:val="18"/>
                <w:lang w:val="sl-SI"/>
              </w:rPr>
            </w:pPr>
            <w:r w:rsidRPr="00B34381">
              <w:rPr>
                <w:szCs w:val="18"/>
                <w:lang w:val="sl-SI"/>
              </w:rPr>
              <w:t>indeks gospodarskopolitične negotovosti</w:t>
            </w:r>
          </w:p>
        </w:tc>
        <w:tc>
          <w:tcPr>
            <w:tcW w:w="1126" w:type="pct"/>
            <w:tcBorders>
              <w:bottom w:val="nil"/>
            </w:tcBorders>
            <w:shd w:val="clear" w:color="auto" w:fill="auto"/>
          </w:tcPr>
          <w:p w14:paraId="05F9FB51" w14:textId="77777777" w:rsidR="00B64D74" w:rsidRPr="00B34381" w:rsidRDefault="00B64D74" w:rsidP="003A3DD0">
            <w:pPr>
              <w:keepNext/>
              <w:keepLines/>
              <w:widowControl w:val="0"/>
              <w:spacing w:after="0"/>
              <w:jc w:val="left"/>
              <w:rPr>
                <w:szCs w:val="18"/>
                <w:lang w:val="sl-SI"/>
              </w:rPr>
            </w:pPr>
            <w:r w:rsidRPr="00B34381">
              <w:rPr>
                <w:szCs w:val="18"/>
                <w:lang w:val="sl-SI"/>
              </w:rPr>
              <w:t>EPU</w:t>
            </w:r>
          </w:p>
        </w:tc>
      </w:tr>
      <w:tr w:rsidR="00B64D74" w:rsidRPr="00B34381" w14:paraId="6AB341E5" w14:textId="77777777" w:rsidTr="0072439A">
        <w:tc>
          <w:tcPr>
            <w:tcW w:w="1379" w:type="pct"/>
            <w:tcBorders>
              <w:top w:val="nil"/>
              <w:bottom w:val="nil"/>
            </w:tcBorders>
            <w:shd w:val="clear" w:color="auto" w:fill="auto"/>
          </w:tcPr>
          <w:p w14:paraId="271E25A3" w14:textId="77777777" w:rsidR="00B64D74" w:rsidRPr="00B34381" w:rsidRDefault="00B64D74" w:rsidP="003A3DD0">
            <w:pPr>
              <w:keepNext/>
              <w:keepLines/>
              <w:widowControl w:val="0"/>
              <w:spacing w:after="0"/>
              <w:rPr>
                <w:szCs w:val="18"/>
                <w:lang w:val="sl-SI"/>
              </w:rPr>
            </w:pPr>
            <w:proofErr w:type="spellStart"/>
            <w:r w:rsidRPr="00B34381">
              <w:rPr>
                <w:szCs w:val="18"/>
                <w:lang w:val="sl-SI"/>
              </w:rPr>
              <w:t>ir</w:t>
            </w:r>
            <w:proofErr w:type="spellEnd"/>
          </w:p>
        </w:tc>
        <w:tc>
          <w:tcPr>
            <w:tcW w:w="2495" w:type="pct"/>
            <w:tcBorders>
              <w:top w:val="nil"/>
              <w:bottom w:val="nil"/>
            </w:tcBorders>
            <w:shd w:val="clear" w:color="auto" w:fill="auto"/>
          </w:tcPr>
          <w:p w14:paraId="4A969882" w14:textId="77777777" w:rsidR="00B64D74" w:rsidRPr="00B34381" w:rsidRDefault="00B64D74" w:rsidP="003A3DD0">
            <w:pPr>
              <w:keepNext/>
              <w:keepLines/>
              <w:widowControl w:val="0"/>
              <w:spacing w:after="0"/>
              <w:jc w:val="left"/>
              <w:rPr>
                <w:szCs w:val="18"/>
                <w:lang w:val="sl-SI"/>
              </w:rPr>
            </w:pPr>
            <w:r w:rsidRPr="00B34381">
              <w:rPr>
                <w:szCs w:val="18"/>
                <w:lang w:val="sl-SI"/>
              </w:rPr>
              <w:t>obrestna mera</w:t>
            </w:r>
          </w:p>
        </w:tc>
        <w:tc>
          <w:tcPr>
            <w:tcW w:w="1126" w:type="pct"/>
            <w:tcBorders>
              <w:top w:val="nil"/>
              <w:bottom w:val="nil"/>
            </w:tcBorders>
            <w:shd w:val="clear" w:color="auto" w:fill="auto"/>
          </w:tcPr>
          <w:p w14:paraId="0E659935"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48422054" w14:textId="77777777" w:rsidTr="0072439A">
        <w:tc>
          <w:tcPr>
            <w:tcW w:w="1379" w:type="pct"/>
            <w:tcBorders>
              <w:top w:val="nil"/>
              <w:bottom w:val="nil"/>
            </w:tcBorders>
            <w:shd w:val="clear" w:color="auto" w:fill="auto"/>
          </w:tcPr>
          <w:p w14:paraId="79F3DE81" w14:textId="77777777" w:rsidR="00B64D74" w:rsidRPr="00B34381" w:rsidRDefault="00B64D74" w:rsidP="003A3DD0">
            <w:pPr>
              <w:keepNext/>
              <w:keepLines/>
              <w:widowControl w:val="0"/>
              <w:spacing w:after="0"/>
              <w:rPr>
                <w:szCs w:val="18"/>
                <w:lang w:val="sl-SI"/>
              </w:rPr>
            </w:pPr>
            <w:proofErr w:type="spellStart"/>
            <w:r w:rsidRPr="00B34381">
              <w:rPr>
                <w:szCs w:val="18"/>
                <w:lang w:val="sl-SI"/>
              </w:rPr>
              <w:t>logipi</w:t>
            </w:r>
            <w:proofErr w:type="spellEnd"/>
          </w:p>
        </w:tc>
        <w:tc>
          <w:tcPr>
            <w:tcW w:w="2495" w:type="pct"/>
            <w:tcBorders>
              <w:top w:val="nil"/>
              <w:bottom w:val="nil"/>
            </w:tcBorders>
            <w:shd w:val="clear" w:color="auto" w:fill="auto"/>
          </w:tcPr>
          <w:p w14:paraId="1BAC05C8" w14:textId="77777777" w:rsidR="00B64D74" w:rsidRPr="00B34381" w:rsidRDefault="00B64D74" w:rsidP="003A3DD0">
            <w:pPr>
              <w:keepNext/>
              <w:keepLines/>
              <w:widowControl w:val="0"/>
              <w:spacing w:after="0"/>
              <w:jc w:val="left"/>
              <w:rPr>
                <w:szCs w:val="18"/>
                <w:lang w:val="sl-SI"/>
              </w:rPr>
            </w:pPr>
            <w:r w:rsidRPr="00B34381">
              <w:rPr>
                <w:szCs w:val="18"/>
                <w:lang w:val="sl-SI"/>
              </w:rPr>
              <w:t>logaritem indeksa industrijske proizvodnje</w:t>
            </w:r>
          </w:p>
        </w:tc>
        <w:tc>
          <w:tcPr>
            <w:tcW w:w="1126" w:type="pct"/>
            <w:tcBorders>
              <w:top w:val="nil"/>
              <w:bottom w:val="nil"/>
            </w:tcBorders>
            <w:shd w:val="clear" w:color="auto" w:fill="auto"/>
          </w:tcPr>
          <w:p w14:paraId="31669A81"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68D538CE" w14:textId="77777777" w:rsidTr="0072439A">
        <w:tc>
          <w:tcPr>
            <w:tcW w:w="1379" w:type="pct"/>
            <w:tcBorders>
              <w:top w:val="nil"/>
              <w:bottom w:val="nil"/>
            </w:tcBorders>
            <w:shd w:val="clear" w:color="auto" w:fill="auto"/>
          </w:tcPr>
          <w:p w14:paraId="2BDF0BB6" w14:textId="77777777" w:rsidR="00B64D74" w:rsidRPr="00B34381" w:rsidRDefault="00B64D74" w:rsidP="003A3DD0">
            <w:pPr>
              <w:keepNext/>
              <w:keepLines/>
              <w:widowControl w:val="0"/>
              <w:spacing w:after="0"/>
              <w:rPr>
                <w:szCs w:val="18"/>
                <w:lang w:val="sl-SI"/>
              </w:rPr>
            </w:pPr>
            <w:proofErr w:type="spellStart"/>
            <w:r w:rsidRPr="00B34381">
              <w:rPr>
                <w:szCs w:val="18"/>
                <w:lang w:val="sl-SI"/>
              </w:rPr>
              <w:t>logsp</w:t>
            </w:r>
            <w:proofErr w:type="spellEnd"/>
          </w:p>
        </w:tc>
        <w:tc>
          <w:tcPr>
            <w:tcW w:w="2495" w:type="pct"/>
            <w:tcBorders>
              <w:top w:val="nil"/>
              <w:bottom w:val="nil"/>
            </w:tcBorders>
            <w:shd w:val="clear" w:color="auto" w:fill="auto"/>
          </w:tcPr>
          <w:p w14:paraId="26D10CC0" w14:textId="77777777" w:rsidR="00B64D74" w:rsidRPr="00B34381" w:rsidRDefault="00B64D74" w:rsidP="003A3DD0">
            <w:pPr>
              <w:keepNext/>
              <w:keepLines/>
              <w:widowControl w:val="0"/>
              <w:spacing w:after="0"/>
              <w:jc w:val="left"/>
              <w:rPr>
                <w:szCs w:val="18"/>
                <w:lang w:val="sl-SI"/>
              </w:rPr>
            </w:pPr>
            <w:r w:rsidRPr="00B34381">
              <w:rPr>
                <w:szCs w:val="18"/>
                <w:lang w:val="sl-SI"/>
              </w:rPr>
              <w:t>logaritem cen delnic</w:t>
            </w:r>
          </w:p>
        </w:tc>
        <w:tc>
          <w:tcPr>
            <w:tcW w:w="1126" w:type="pct"/>
            <w:tcBorders>
              <w:top w:val="nil"/>
              <w:bottom w:val="nil"/>
            </w:tcBorders>
            <w:shd w:val="clear" w:color="auto" w:fill="auto"/>
          </w:tcPr>
          <w:p w14:paraId="3CE2EE1A"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5BFCB8B6" w14:textId="77777777" w:rsidTr="001445C3">
        <w:tc>
          <w:tcPr>
            <w:tcW w:w="1379" w:type="pct"/>
            <w:tcBorders>
              <w:top w:val="nil"/>
              <w:bottom w:val="nil"/>
            </w:tcBorders>
            <w:shd w:val="clear" w:color="auto" w:fill="auto"/>
          </w:tcPr>
          <w:p w14:paraId="56F11D1D" w14:textId="77777777" w:rsidR="00B64D74" w:rsidRPr="00B34381" w:rsidRDefault="00B64D74" w:rsidP="003A3DD0">
            <w:pPr>
              <w:keepNext/>
              <w:keepLines/>
              <w:widowControl w:val="0"/>
              <w:spacing w:after="0"/>
              <w:rPr>
                <w:szCs w:val="18"/>
                <w:lang w:val="sl-SI"/>
              </w:rPr>
            </w:pPr>
            <w:proofErr w:type="spellStart"/>
            <w:r w:rsidRPr="00B34381">
              <w:rPr>
                <w:szCs w:val="18"/>
                <w:lang w:val="sl-SI"/>
              </w:rPr>
              <w:t>logunrate</w:t>
            </w:r>
            <w:proofErr w:type="spellEnd"/>
          </w:p>
        </w:tc>
        <w:tc>
          <w:tcPr>
            <w:tcW w:w="2495" w:type="pct"/>
            <w:tcBorders>
              <w:top w:val="nil"/>
              <w:bottom w:val="nil"/>
            </w:tcBorders>
            <w:shd w:val="clear" w:color="auto" w:fill="auto"/>
          </w:tcPr>
          <w:p w14:paraId="7AF6B90C" w14:textId="77777777" w:rsidR="00B64D74" w:rsidRPr="00B34381" w:rsidRDefault="00B64D74" w:rsidP="003A3DD0">
            <w:pPr>
              <w:keepNext/>
              <w:keepLines/>
              <w:widowControl w:val="0"/>
              <w:spacing w:after="0"/>
              <w:jc w:val="left"/>
              <w:rPr>
                <w:szCs w:val="18"/>
                <w:lang w:val="sl-SI"/>
              </w:rPr>
            </w:pPr>
            <w:r w:rsidRPr="00B34381">
              <w:rPr>
                <w:szCs w:val="18"/>
                <w:lang w:val="sl-SI"/>
              </w:rPr>
              <w:t>logaritem stopnje brezposelnosti</w:t>
            </w:r>
          </w:p>
        </w:tc>
        <w:tc>
          <w:tcPr>
            <w:tcW w:w="1126" w:type="pct"/>
            <w:tcBorders>
              <w:top w:val="nil"/>
              <w:bottom w:val="nil"/>
            </w:tcBorders>
            <w:shd w:val="clear" w:color="auto" w:fill="auto"/>
          </w:tcPr>
          <w:p w14:paraId="6626078E" w14:textId="77777777" w:rsidR="00B64D74" w:rsidRPr="00B34381" w:rsidRDefault="00B64D74" w:rsidP="003A3DD0">
            <w:pPr>
              <w:keepNext/>
              <w:keepLines/>
              <w:widowControl w:val="0"/>
              <w:spacing w:after="0"/>
              <w:jc w:val="left"/>
              <w:rPr>
                <w:szCs w:val="18"/>
                <w:lang w:val="sl-SI"/>
              </w:rPr>
            </w:pPr>
            <w:r w:rsidRPr="00B34381">
              <w:rPr>
                <w:szCs w:val="18"/>
                <w:lang w:val="sl-SI"/>
              </w:rPr>
              <w:t>OECD</w:t>
            </w:r>
          </w:p>
        </w:tc>
      </w:tr>
      <w:tr w:rsidR="00B64D74" w:rsidRPr="00B34381" w14:paraId="1E26E734" w14:textId="77777777" w:rsidTr="001445C3">
        <w:tc>
          <w:tcPr>
            <w:tcW w:w="1379" w:type="pct"/>
            <w:tcBorders>
              <w:top w:val="nil"/>
              <w:bottom w:val="double" w:sz="4" w:space="0" w:color="auto"/>
            </w:tcBorders>
            <w:shd w:val="clear" w:color="auto" w:fill="auto"/>
          </w:tcPr>
          <w:p w14:paraId="09470E10" w14:textId="77777777" w:rsidR="00B64D74" w:rsidRPr="00B34381" w:rsidRDefault="00B64D74" w:rsidP="003A3DD0">
            <w:pPr>
              <w:keepNext/>
              <w:keepLines/>
              <w:widowControl w:val="0"/>
              <w:spacing w:after="0"/>
              <w:rPr>
                <w:szCs w:val="18"/>
                <w:lang w:val="sl-SI"/>
              </w:rPr>
            </w:pPr>
            <w:proofErr w:type="spellStart"/>
            <w:r w:rsidRPr="00B34381">
              <w:rPr>
                <w:szCs w:val="18"/>
                <w:lang w:val="sl-SI"/>
              </w:rPr>
              <w:t>mepu</w:t>
            </w:r>
            <w:proofErr w:type="spellEnd"/>
          </w:p>
        </w:tc>
        <w:tc>
          <w:tcPr>
            <w:tcW w:w="2495" w:type="pct"/>
            <w:tcBorders>
              <w:top w:val="nil"/>
              <w:bottom w:val="double" w:sz="4" w:space="0" w:color="auto"/>
            </w:tcBorders>
            <w:shd w:val="clear" w:color="auto" w:fill="auto"/>
          </w:tcPr>
          <w:p w14:paraId="05F33D87" w14:textId="77777777" w:rsidR="00B64D74" w:rsidRPr="00B34381" w:rsidRDefault="00B64D74" w:rsidP="003A3DD0">
            <w:pPr>
              <w:keepNext/>
              <w:keepLines/>
              <w:widowControl w:val="0"/>
              <w:spacing w:after="0"/>
              <w:jc w:val="left"/>
              <w:rPr>
                <w:szCs w:val="18"/>
                <w:lang w:val="sl-SI"/>
              </w:rPr>
            </w:pPr>
            <w:r w:rsidRPr="00B34381">
              <w:rPr>
                <w:szCs w:val="18"/>
                <w:lang w:val="sl-SI"/>
              </w:rPr>
              <w:t>indeks s priseljevanjem povezane gospodarskopolitične negotovosti</w:t>
            </w:r>
          </w:p>
        </w:tc>
        <w:tc>
          <w:tcPr>
            <w:tcW w:w="1126" w:type="pct"/>
            <w:tcBorders>
              <w:top w:val="nil"/>
              <w:bottom w:val="double" w:sz="4" w:space="0" w:color="auto"/>
            </w:tcBorders>
            <w:shd w:val="clear" w:color="auto" w:fill="auto"/>
          </w:tcPr>
          <w:p w14:paraId="5F8C22FB" w14:textId="77777777" w:rsidR="00B64D74" w:rsidRPr="00B34381" w:rsidRDefault="00B64D74" w:rsidP="003A3DD0">
            <w:pPr>
              <w:keepNext/>
              <w:keepLines/>
              <w:widowControl w:val="0"/>
              <w:spacing w:after="0"/>
              <w:jc w:val="left"/>
              <w:rPr>
                <w:szCs w:val="18"/>
                <w:lang w:val="sl-SI"/>
              </w:rPr>
            </w:pPr>
            <w:r w:rsidRPr="00B34381">
              <w:rPr>
                <w:szCs w:val="18"/>
                <w:lang w:val="sl-SI"/>
              </w:rPr>
              <w:t>EPU</w:t>
            </w:r>
          </w:p>
        </w:tc>
      </w:tr>
    </w:tbl>
    <w:p w14:paraId="55807E92" w14:textId="77777777" w:rsidR="001375C1" w:rsidRPr="00B34381" w:rsidRDefault="0077026D" w:rsidP="0077026D">
      <w:pPr>
        <w:spacing w:after="0"/>
        <w:rPr>
          <w:szCs w:val="18"/>
          <w:lang w:val="sl-SI"/>
        </w:rPr>
      </w:pPr>
      <w:r w:rsidRPr="00B34381">
        <w:rPr>
          <w:szCs w:val="18"/>
          <w:lang w:val="sl-SI"/>
        </w:rPr>
        <w:t xml:space="preserve">Opomba: EPU = </w:t>
      </w:r>
      <w:hyperlink r:id="rId19" w:history="1">
        <w:r w:rsidRPr="00B34381">
          <w:rPr>
            <w:rStyle w:val="Hyperlink"/>
            <w:szCs w:val="18"/>
            <w:lang w:val="sl-SI"/>
          </w:rPr>
          <w:t>http://www.policyuncertainty.com/</w:t>
        </w:r>
      </w:hyperlink>
      <w:r w:rsidRPr="00B34381">
        <w:rPr>
          <w:szCs w:val="18"/>
          <w:lang w:val="sl-SI"/>
        </w:rPr>
        <w:t>.</w:t>
      </w:r>
    </w:p>
    <w:p w14:paraId="3D848839" w14:textId="77777777" w:rsidR="008B197E" w:rsidRPr="00B34381" w:rsidRDefault="000277C3">
      <w:pPr>
        <w:pStyle w:val="Heading1"/>
        <w:spacing w:before="120"/>
        <w:rPr>
          <w:sz w:val="18"/>
          <w:szCs w:val="18"/>
          <w:lang w:val="sl-SI"/>
        </w:rPr>
      </w:pPr>
      <w:r w:rsidRPr="00B34381">
        <w:rPr>
          <w:sz w:val="18"/>
          <w:szCs w:val="18"/>
          <w:lang w:val="sl-SI"/>
        </w:rPr>
        <w:t>REZULTATI</w:t>
      </w:r>
    </w:p>
    <w:p w14:paraId="206ABCBD" w14:textId="57787640" w:rsidR="00755A5D" w:rsidRPr="00B34381" w:rsidRDefault="00B21FA1" w:rsidP="001C531A">
      <w:pPr>
        <w:keepLines/>
        <w:widowControl w:val="0"/>
        <w:rPr>
          <w:szCs w:val="18"/>
          <w:lang w:val="sl-SI"/>
        </w:rPr>
      </w:pPr>
      <w:r>
        <w:rPr>
          <w:szCs w:val="18"/>
          <w:lang w:val="sl-SI"/>
        </w:rPr>
        <w:t xml:space="preserve">Šok (angl. </w:t>
      </w:r>
      <w:r w:rsidRPr="00B21FA1">
        <w:rPr>
          <w:i/>
          <w:iCs/>
          <w:szCs w:val="18"/>
          <w:lang w:val="en-GB"/>
        </w:rPr>
        <w:t>shock</w:t>
      </w:r>
      <w:r>
        <w:rPr>
          <w:szCs w:val="18"/>
          <w:lang w:val="sl-SI"/>
        </w:rPr>
        <w:t xml:space="preserve">) je nepričakovan dogodek. </w:t>
      </w:r>
      <w:r w:rsidR="00755A5D" w:rsidRPr="00B34381">
        <w:rPr>
          <w:szCs w:val="18"/>
          <w:lang w:val="sl-SI"/>
        </w:rPr>
        <w:t xml:space="preserve">Slike </w:t>
      </w:r>
      <w:r w:rsidR="00275053" w:rsidRPr="00B34381">
        <w:rPr>
          <w:szCs w:val="18"/>
          <w:lang w:val="sl-SI"/>
        </w:rPr>
        <w:t>6</w:t>
      </w:r>
      <w:r w:rsidR="00EE4ACB" w:rsidRPr="00B34381">
        <w:rPr>
          <w:szCs w:val="18"/>
          <w:lang w:val="sl-SI"/>
        </w:rPr>
        <w:t xml:space="preserve">, </w:t>
      </w:r>
      <w:r w:rsidR="00275053" w:rsidRPr="00B34381">
        <w:rPr>
          <w:szCs w:val="18"/>
          <w:lang w:val="sl-SI"/>
        </w:rPr>
        <w:t>8</w:t>
      </w:r>
      <w:r w:rsidR="00EE4ACB" w:rsidRPr="00B34381">
        <w:rPr>
          <w:szCs w:val="18"/>
          <w:lang w:val="sl-SI"/>
        </w:rPr>
        <w:t xml:space="preserve">, </w:t>
      </w:r>
      <w:r w:rsidR="00275053" w:rsidRPr="00B34381">
        <w:rPr>
          <w:szCs w:val="18"/>
          <w:lang w:val="sl-SI"/>
        </w:rPr>
        <w:t>10</w:t>
      </w:r>
      <w:r w:rsidR="00EE4ACB" w:rsidRPr="00B34381">
        <w:rPr>
          <w:szCs w:val="18"/>
          <w:lang w:val="sl-SI"/>
        </w:rPr>
        <w:t xml:space="preserve"> in 1</w:t>
      </w:r>
      <w:r w:rsidR="00275053" w:rsidRPr="00B34381">
        <w:rPr>
          <w:szCs w:val="18"/>
          <w:lang w:val="sl-SI"/>
        </w:rPr>
        <w:t>2</w:t>
      </w:r>
      <w:r w:rsidR="00755A5D" w:rsidRPr="00B34381">
        <w:rPr>
          <w:szCs w:val="18"/>
          <w:lang w:val="sl-SI"/>
        </w:rPr>
        <w:t xml:space="preserve"> kažejo odziv </w:t>
      </w:r>
      <w:bookmarkStart w:id="3" w:name="_Hlk18966732"/>
      <w:r w:rsidR="00755A5D" w:rsidRPr="00B34381">
        <w:rPr>
          <w:szCs w:val="18"/>
          <w:lang w:val="sl-SI"/>
        </w:rPr>
        <w:t xml:space="preserve">spremenljivk </w:t>
      </w:r>
      <w:proofErr w:type="spellStart"/>
      <w:r w:rsidR="00755A5D" w:rsidRPr="00B34381">
        <w:rPr>
          <w:szCs w:val="18"/>
          <w:lang w:val="sl-SI"/>
        </w:rPr>
        <w:t>ir</w:t>
      </w:r>
      <w:proofErr w:type="spellEnd"/>
      <w:r w:rsidR="00755A5D" w:rsidRPr="00B34381">
        <w:rPr>
          <w:szCs w:val="18"/>
          <w:lang w:val="sl-SI"/>
        </w:rPr>
        <w:t xml:space="preserve">, </w:t>
      </w:r>
      <w:proofErr w:type="spellStart"/>
      <w:r w:rsidR="00755A5D" w:rsidRPr="00B34381">
        <w:rPr>
          <w:szCs w:val="18"/>
          <w:lang w:val="sl-SI"/>
        </w:rPr>
        <w:t>logipi</w:t>
      </w:r>
      <w:proofErr w:type="spellEnd"/>
      <w:r w:rsidR="00755A5D" w:rsidRPr="00B34381">
        <w:rPr>
          <w:szCs w:val="18"/>
          <w:lang w:val="sl-SI"/>
        </w:rPr>
        <w:t xml:space="preserve">, </w:t>
      </w:r>
      <w:proofErr w:type="spellStart"/>
      <w:r w:rsidR="00755A5D" w:rsidRPr="00B34381">
        <w:rPr>
          <w:szCs w:val="18"/>
          <w:lang w:val="sl-SI"/>
        </w:rPr>
        <w:t>logsp</w:t>
      </w:r>
      <w:proofErr w:type="spellEnd"/>
      <w:r w:rsidR="00DC6408" w:rsidRPr="00B34381">
        <w:rPr>
          <w:szCs w:val="18"/>
          <w:lang w:val="sl-SI"/>
        </w:rPr>
        <w:t xml:space="preserve"> in</w:t>
      </w:r>
      <w:r w:rsidR="00755A5D" w:rsidRPr="00B34381">
        <w:rPr>
          <w:szCs w:val="18"/>
          <w:lang w:val="sl-SI"/>
        </w:rPr>
        <w:t xml:space="preserve"> </w:t>
      </w:r>
      <w:proofErr w:type="spellStart"/>
      <w:r w:rsidR="00755A5D" w:rsidRPr="00B34381">
        <w:rPr>
          <w:szCs w:val="18"/>
          <w:lang w:val="sl-SI"/>
        </w:rPr>
        <w:t>logunrate</w:t>
      </w:r>
      <w:proofErr w:type="spellEnd"/>
      <w:r w:rsidR="00755A5D" w:rsidRPr="00B34381">
        <w:rPr>
          <w:szCs w:val="18"/>
          <w:lang w:val="sl-SI"/>
        </w:rPr>
        <w:t xml:space="preserve"> na šok gospodarskopolitične negotovosti</w:t>
      </w:r>
      <w:bookmarkEnd w:id="3"/>
      <w:r w:rsidR="00CD0360">
        <w:rPr>
          <w:szCs w:val="18"/>
          <w:lang w:val="sl-SI"/>
        </w:rPr>
        <w:t xml:space="preserve"> (v velikosti standardnega odklona)</w:t>
      </w:r>
      <w:r w:rsidR="00755A5D" w:rsidRPr="00B34381">
        <w:rPr>
          <w:szCs w:val="18"/>
          <w:lang w:val="sl-SI"/>
        </w:rPr>
        <w:t xml:space="preserve">, slike </w:t>
      </w:r>
      <w:r w:rsidR="00275053" w:rsidRPr="00B34381">
        <w:rPr>
          <w:szCs w:val="18"/>
          <w:lang w:val="sl-SI"/>
        </w:rPr>
        <w:t>7</w:t>
      </w:r>
      <w:r w:rsidR="00EE4ACB" w:rsidRPr="00B34381">
        <w:rPr>
          <w:szCs w:val="18"/>
          <w:lang w:val="sl-SI"/>
        </w:rPr>
        <w:t xml:space="preserve">, </w:t>
      </w:r>
      <w:r w:rsidR="00275053" w:rsidRPr="00B34381">
        <w:rPr>
          <w:szCs w:val="18"/>
          <w:lang w:val="sl-SI"/>
        </w:rPr>
        <w:t>9</w:t>
      </w:r>
      <w:r w:rsidR="00EE4ACB" w:rsidRPr="00B34381">
        <w:rPr>
          <w:szCs w:val="18"/>
          <w:lang w:val="sl-SI"/>
        </w:rPr>
        <w:t>, 1</w:t>
      </w:r>
      <w:r w:rsidR="00275053" w:rsidRPr="00B34381">
        <w:rPr>
          <w:szCs w:val="18"/>
          <w:lang w:val="sl-SI"/>
        </w:rPr>
        <w:t>1</w:t>
      </w:r>
      <w:r w:rsidR="00EE4ACB" w:rsidRPr="00B34381">
        <w:rPr>
          <w:szCs w:val="18"/>
          <w:lang w:val="sl-SI"/>
        </w:rPr>
        <w:t xml:space="preserve"> in 1</w:t>
      </w:r>
      <w:r w:rsidR="00275053" w:rsidRPr="00B34381">
        <w:rPr>
          <w:szCs w:val="18"/>
          <w:lang w:val="sl-SI"/>
        </w:rPr>
        <w:t>3</w:t>
      </w:r>
      <w:r w:rsidR="00755A5D" w:rsidRPr="00B34381">
        <w:rPr>
          <w:szCs w:val="18"/>
          <w:lang w:val="sl-SI"/>
        </w:rPr>
        <w:t xml:space="preserve"> pa na šok s priseljevanjem</w:t>
      </w:r>
      <w:r w:rsidR="00755A5D" w:rsidRPr="00B34381">
        <w:rPr>
          <w:lang w:val="sl-SI"/>
        </w:rPr>
        <w:t xml:space="preserve"> </w:t>
      </w:r>
      <w:r w:rsidR="00755A5D" w:rsidRPr="00B34381">
        <w:rPr>
          <w:szCs w:val="18"/>
          <w:lang w:val="sl-SI"/>
        </w:rPr>
        <w:t xml:space="preserve">povezane gospodarskopolitične negotovosti </w:t>
      </w:r>
      <w:r w:rsidR="00CD0360">
        <w:rPr>
          <w:szCs w:val="18"/>
          <w:lang w:val="sl-SI"/>
        </w:rPr>
        <w:t xml:space="preserve">(v velikosti standardnega odklona) </w:t>
      </w:r>
      <w:r w:rsidR="00755A5D" w:rsidRPr="00B34381">
        <w:rPr>
          <w:szCs w:val="18"/>
          <w:lang w:val="sl-SI"/>
        </w:rPr>
        <w:t>v Franciji, Nemčiji, ZDA in Združenem kraljestvu.</w:t>
      </w:r>
      <w:r w:rsidR="00785203" w:rsidRPr="00B34381">
        <w:rPr>
          <w:szCs w:val="18"/>
          <w:lang w:val="sl-SI"/>
        </w:rPr>
        <w:t xml:space="preserve"> Abscisne osi kažejo </w:t>
      </w:r>
      <w:r w:rsidR="00276B9B" w:rsidRPr="00B34381">
        <w:rPr>
          <w:szCs w:val="18"/>
          <w:lang w:val="sl-SI"/>
        </w:rPr>
        <w:t>čas</w:t>
      </w:r>
      <w:r w:rsidR="00785203" w:rsidRPr="00B34381">
        <w:rPr>
          <w:szCs w:val="18"/>
          <w:lang w:val="sl-SI"/>
        </w:rPr>
        <w:t>, ordinatne pa spremembe obrestne mere, logaritma indeksa industrijske proizvodnje, logaritma cen delnic in logaritma stopnje brezposelnosti.</w:t>
      </w:r>
      <w:r w:rsidR="00230CBB">
        <w:rPr>
          <w:szCs w:val="18"/>
          <w:lang w:val="sl-SI"/>
        </w:rPr>
        <w:t xml:space="preserve"> </w:t>
      </w:r>
    </w:p>
    <w:p w14:paraId="6E252003" w14:textId="53AEACA8" w:rsidR="0064059A" w:rsidRPr="00B34381" w:rsidRDefault="00D14C2E" w:rsidP="001C531A">
      <w:pPr>
        <w:keepLines/>
        <w:widowControl w:val="0"/>
        <w:rPr>
          <w:szCs w:val="18"/>
          <w:lang w:val="sl-SI"/>
        </w:rPr>
      </w:pPr>
      <w:r w:rsidRPr="00B34381">
        <w:rPr>
          <w:szCs w:val="18"/>
          <w:lang w:val="sl-SI"/>
        </w:rPr>
        <w:t xml:space="preserve">S </w:t>
      </w:r>
      <w:r w:rsidR="0064059A" w:rsidRPr="00B34381">
        <w:rPr>
          <w:szCs w:val="18"/>
          <w:lang w:val="sl-SI"/>
        </w:rPr>
        <w:t>slik 6, 8, 10 in 12 razberemo, da šok gospodarskopolitične negotovosti zniža obrestno mero</w:t>
      </w:r>
      <w:r w:rsidR="00F60C67" w:rsidRPr="00B34381">
        <w:rPr>
          <w:szCs w:val="18"/>
          <w:lang w:val="sl-SI"/>
        </w:rPr>
        <w:t xml:space="preserve"> in </w:t>
      </w:r>
      <w:r w:rsidR="0064059A" w:rsidRPr="00B34381">
        <w:rPr>
          <w:szCs w:val="18"/>
          <w:lang w:val="sl-SI"/>
        </w:rPr>
        <w:t xml:space="preserve">indeks industrijske proizvodnje </w:t>
      </w:r>
      <w:r w:rsidR="00F60C67" w:rsidRPr="00B34381">
        <w:rPr>
          <w:szCs w:val="18"/>
          <w:lang w:val="sl-SI"/>
        </w:rPr>
        <w:t>v vseh državah razen v Nemčiji, kjer se indeks industrijske proizvodnje zviša.</w:t>
      </w:r>
      <w:r w:rsidR="00230CBB">
        <w:rPr>
          <w:szCs w:val="18"/>
          <w:lang w:val="sl-SI"/>
        </w:rPr>
        <w:t xml:space="preserve"> </w:t>
      </w:r>
      <w:r w:rsidR="001E7692">
        <w:rPr>
          <w:szCs w:val="18"/>
          <w:lang w:val="sl-SI"/>
        </w:rPr>
        <w:t>Eden izmed razlogov za to bi lahko bila različna pričakovanja</w:t>
      </w:r>
      <w:r w:rsidR="00B21FA1">
        <w:rPr>
          <w:szCs w:val="18"/>
          <w:lang w:val="sl-SI"/>
        </w:rPr>
        <w:t xml:space="preserve">. </w:t>
      </w:r>
      <w:r w:rsidRPr="00B34381">
        <w:rPr>
          <w:szCs w:val="18"/>
          <w:lang w:val="sl-SI"/>
        </w:rPr>
        <w:t xml:space="preserve">S </w:t>
      </w:r>
      <w:r w:rsidR="00F60C67" w:rsidRPr="00B34381">
        <w:rPr>
          <w:szCs w:val="18"/>
          <w:lang w:val="sl-SI"/>
        </w:rPr>
        <w:t>slik 6, 8, 10 in 12 razberemo tudi, da šok gospodarskopolitične negotovosti zniža cene delnic v vseh državah</w:t>
      </w:r>
      <w:r w:rsidR="001E7692">
        <w:rPr>
          <w:szCs w:val="18"/>
          <w:lang w:val="sl-SI"/>
        </w:rPr>
        <w:t>, kar smo pričakovali.</w:t>
      </w:r>
    </w:p>
    <w:p w14:paraId="363CEE4A" w14:textId="38D596FE" w:rsidR="00F60C67" w:rsidRPr="00B34381" w:rsidRDefault="00D14C2E" w:rsidP="001C531A">
      <w:pPr>
        <w:keepLines/>
        <w:widowControl w:val="0"/>
        <w:rPr>
          <w:szCs w:val="18"/>
          <w:lang w:val="sl-SI"/>
        </w:rPr>
      </w:pPr>
      <w:r w:rsidRPr="00B34381">
        <w:rPr>
          <w:szCs w:val="18"/>
          <w:lang w:val="sl-SI"/>
        </w:rPr>
        <w:t xml:space="preserve">S </w:t>
      </w:r>
      <w:r w:rsidR="00F60C67" w:rsidRPr="00B34381">
        <w:rPr>
          <w:szCs w:val="18"/>
          <w:lang w:val="sl-SI"/>
        </w:rPr>
        <w:t xml:space="preserve">slik 7, 9, 11 in 13 pa razberemo, da šok s priseljevanjem povezane gospodarskopolitične negotovosti zniža indeks industrijske proizvodnje v Franciji, v Nemčiji pa ga zviša. </w:t>
      </w:r>
      <w:r w:rsidRPr="00B34381">
        <w:rPr>
          <w:szCs w:val="18"/>
          <w:lang w:val="sl-SI"/>
        </w:rPr>
        <w:t xml:space="preserve">S </w:t>
      </w:r>
      <w:r w:rsidR="00F60C67" w:rsidRPr="00B34381">
        <w:rPr>
          <w:szCs w:val="18"/>
          <w:lang w:val="sl-SI"/>
        </w:rPr>
        <w:t>slik 7, 9, 11 in 13 razberemo tudi, da šok s priseljevanjem povezane gospodarskopolitične negotovosti zviša cene delnic v ZDA</w:t>
      </w:r>
      <w:r w:rsidR="00987938">
        <w:rPr>
          <w:szCs w:val="18"/>
          <w:lang w:val="sl-SI"/>
        </w:rPr>
        <w:t>, česar nismo pričakovali.</w:t>
      </w:r>
    </w:p>
    <w:p w14:paraId="39D763D2" w14:textId="77777777" w:rsidR="007642E9" w:rsidRPr="00B34381" w:rsidRDefault="00720295" w:rsidP="001C531A">
      <w:pPr>
        <w:keepNext/>
        <w:keepLines/>
        <w:widowControl w:val="0"/>
        <w:spacing w:after="0"/>
        <w:rPr>
          <w:szCs w:val="18"/>
          <w:lang w:val="sl-SI"/>
        </w:rPr>
      </w:pPr>
      <w:r w:rsidRPr="00B34381">
        <w:rPr>
          <w:noProof/>
          <w:szCs w:val="18"/>
          <w:lang w:val="sl-SI" w:eastAsia="sl-SI"/>
        </w:rPr>
        <w:drawing>
          <wp:inline distT="0" distB="0" distL="0" distR="0" wp14:anchorId="233BCEC6" wp14:editId="48785194">
            <wp:extent cx="3042920" cy="2216785"/>
            <wp:effectExtent l="0" t="0" r="0" b="0"/>
            <wp:docPr id="6" name="Slika 6" descr="FR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 EP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71D3BDE" w14:textId="75DF2AB6" w:rsidR="007642E9" w:rsidRPr="00B34381" w:rsidRDefault="007642E9" w:rsidP="001C531A">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6</w:t>
      </w:r>
      <w:r w:rsidRPr="00B34381">
        <w:rPr>
          <w:b/>
          <w:bCs/>
          <w:szCs w:val="18"/>
          <w:lang w:val="sl-SI"/>
        </w:rPr>
        <w:t xml:space="preserve">: Odziv spremenljivk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3132A2">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gospodarskopolitične negotovosti v Franciji</w:t>
      </w:r>
    </w:p>
    <w:p w14:paraId="7F146153" w14:textId="0A9F2DFD" w:rsidR="001C531A" w:rsidRPr="00783250" w:rsidRDefault="007642E9" w:rsidP="00783250">
      <w:pPr>
        <w:keepLines/>
        <w:widowControl w:val="0"/>
        <w:jc w:val="center"/>
        <w:rPr>
          <w:b/>
          <w:bCs/>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r w:rsidR="00720295" w:rsidRPr="00B34381">
        <w:rPr>
          <w:noProof/>
          <w:szCs w:val="18"/>
          <w:lang w:val="sl-SI" w:eastAsia="sl-SI"/>
        </w:rPr>
        <w:drawing>
          <wp:inline distT="0" distB="0" distL="0" distR="0" wp14:anchorId="4ADE77D4" wp14:editId="53A7CA6B">
            <wp:extent cx="3042920" cy="2216785"/>
            <wp:effectExtent l="0" t="0" r="0" b="0"/>
            <wp:docPr id="7" name="Slika 7" descr="FR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 MEP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r w:rsidR="001C531A" w:rsidRPr="00B34381">
        <w:rPr>
          <w:b/>
          <w:bCs/>
          <w:szCs w:val="18"/>
          <w:lang w:val="sl-SI"/>
        </w:rPr>
        <w:t xml:space="preserve">Slika </w:t>
      </w:r>
      <w:r w:rsidR="00275053" w:rsidRPr="00B34381">
        <w:rPr>
          <w:b/>
          <w:bCs/>
          <w:szCs w:val="18"/>
          <w:lang w:val="sl-SI"/>
        </w:rPr>
        <w:t>7</w:t>
      </w:r>
      <w:r w:rsidR="001C531A" w:rsidRPr="00B34381">
        <w:rPr>
          <w:b/>
          <w:bCs/>
          <w:szCs w:val="18"/>
          <w:lang w:val="sl-SI"/>
        </w:rPr>
        <w:t xml:space="preserve">: Odziv spremenljivk </w:t>
      </w:r>
      <w:proofErr w:type="spellStart"/>
      <w:r w:rsidR="001C531A" w:rsidRPr="00B34381">
        <w:rPr>
          <w:b/>
          <w:bCs/>
          <w:szCs w:val="18"/>
          <w:lang w:val="sl-SI"/>
        </w:rPr>
        <w:t>ir</w:t>
      </w:r>
      <w:proofErr w:type="spellEnd"/>
      <w:r w:rsidR="001C531A" w:rsidRPr="00B34381">
        <w:rPr>
          <w:b/>
          <w:bCs/>
          <w:szCs w:val="18"/>
          <w:lang w:val="sl-SI"/>
        </w:rPr>
        <w:t xml:space="preserve">, </w:t>
      </w:r>
      <w:proofErr w:type="spellStart"/>
      <w:r w:rsidR="001C531A" w:rsidRPr="00B34381">
        <w:rPr>
          <w:b/>
          <w:bCs/>
          <w:szCs w:val="18"/>
          <w:lang w:val="sl-SI"/>
        </w:rPr>
        <w:t>logipi</w:t>
      </w:r>
      <w:proofErr w:type="spellEnd"/>
      <w:r w:rsidR="001C531A" w:rsidRPr="00B34381">
        <w:rPr>
          <w:b/>
          <w:bCs/>
          <w:szCs w:val="18"/>
          <w:lang w:val="sl-SI"/>
        </w:rPr>
        <w:t xml:space="preserve">, </w:t>
      </w:r>
      <w:proofErr w:type="spellStart"/>
      <w:r w:rsidR="001C531A" w:rsidRPr="00B34381">
        <w:rPr>
          <w:b/>
          <w:bCs/>
          <w:szCs w:val="18"/>
          <w:lang w:val="sl-SI"/>
        </w:rPr>
        <w:t>logsp</w:t>
      </w:r>
      <w:proofErr w:type="spellEnd"/>
      <w:r w:rsidR="003132A2">
        <w:rPr>
          <w:b/>
          <w:bCs/>
          <w:szCs w:val="18"/>
          <w:lang w:val="sl-SI"/>
        </w:rPr>
        <w:t xml:space="preserve"> in</w:t>
      </w:r>
      <w:r w:rsidR="001C531A" w:rsidRPr="00B34381">
        <w:rPr>
          <w:b/>
          <w:bCs/>
          <w:szCs w:val="18"/>
          <w:lang w:val="sl-SI"/>
        </w:rPr>
        <w:t xml:space="preserve"> </w:t>
      </w:r>
      <w:proofErr w:type="spellStart"/>
      <w:r w:rsidR="001C531A" w:rsidRPr="00B34381">
        <w:rPr>
          <w:b/>
          <w:bCs/>
          <w:szCs w:val="18"/>
          <w:lang w:val="sl-SI"/>
        </w:rPr>
        <w:t>logunrate</w:t>
      </w:r>
      <w:proofErr w:type="spellEnd"/>
      <w:r w:rsidR="001C531A" w:rsidRPr="00B34381">
        <w:rPr>
          <w:b/>
          <w:bCs/>
          <w:szCs w:val="18"/>
          <w:lang w:val="sl-SI"/>
        </w:rPr>
        <w:t xml:space="preserve"> na šok s priseljevanjem povezane gospodarskopolitične negotovosti v Franciji</w:t>
      </w:r>
      <w:r w:rsidR="00783250">
        <w:rPr>
          <w:b/>
          <w:bCs/>
          <w:szCs w:val="18"/>
          <w:lang w:val="sl-SI"/>
        </w:rPr>
        <w:br/>
      </w:r>
      <w:r w:rsidR="001C531A" w:rsidRPr="00B34381">
        <w:rPr>
          <w:szCs w:val="18"/>
          <w:lang w:val="sl-SI"/>
        </w:rPr>
        <w:t xml:space="preserve">Vir podatkov: gl. tabelo </w:t>
      </w:r>
      <w:r w:rsidR="008105C9" w:rsidRPr="00B34381">
        <w:rPr>
          <w:szCs w:val="18"/>
          <w:lang w:val="sl-SI"/>
        </w:rPr>
        <w:t>2</w:t>
      </w:r>
      <w:r w:rsidR="001C531A" w:rsidRPr="00B34381">
        <w:rPr>
          <w:szCs w:val="18"/>
          <w:lang w:val="sl-SI"/>
        </w:rPr>
        <w:t>, lastni izračuni.</w:t>
      </w:r>
    </w:p>
    <w:p w14:paraId="4BE6A21D" w14:textId="77777777" w:rsidR="004202F8" w:rsidRPr="00B34381" w:rsidRDefault="00720295" w:rsidP="003A3DD0">
      <w:pPr>
        <w:keepNext/>
        <w:keepLines/>
        <w:widowControl w:val="0"/>
        <w:jc w:val="center"/>
        <w:rPr>
          <w:szCs w:val="18"/>
          <w:lang w:val="sl-SI"/>
        </w:rPr>
      </w:pPr>
      <w:bookmarkStart w:id="4" w:name="_GoBack"/>
      <w:bookmarkEnd w:id="4"/>
      <w:r w:rsidRPr="00B34381">
        <w:rPr>
          <w:noProof/>
          <w:szCs w:val="18"/>
          <w:lang w:val="sl-SI" w:eastAsia="sl-SI"/>
        </w:rPr>
        <w:lastRenderedPageBreak/>
        <w:drawing>
          <wp:inline distT="0" distB="0" distL="0" distR="0" wp14:anchorId="670D52DF" wp14:editId="0531135A">
            <wp:extent cx="3042920" cy="2216785"/>
            <wp:effectExtent l="0" t="0" r="0" b="0"/>
            <wp:docPr id="8" name="Slika 8" descr="DE EP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EPU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9E62134" w14:textId="1627D13F" w:rsidR="005911A4" w:rsidRPr="00B34381" w:rsidRDefault="005911A4"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8</w:t>
      </w:r>
      <w:r w:rsidRPr="00B34381">
        <w:rPr>
          <w:b/>
          <w:bCs/>
          <w:szCs w:val="18"/>
          <w:lang w:val="sl-SI"/>
        </w:rPr>
        <w:t xml:space="preserve">: Odziv spremenljivk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230CBB">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gospodarskopolitične negotovosti v Nemčiji</w:t>
      </w:r>
    </w:p>
    <w:p w14:paraId="3C94AC98" w14:textId="77777777" w:rsidR="005911A4" w:rsidRPr="00B34381" w:rsidRDefault="005911A4" w:rsidP="005911A4">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2EAE21DB" w14:textId="77777777" w:rsidR="005911A4"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6C00B1C" wp14:editId="5076F97A">
            <wp:extent cx="3042920" cy="2216785"/>
            <wp:effectExtent l="0" t="0" r="0" b="0"/>
            <wp:docPr id="9" name="Slika 9" descr="DE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MEP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695591D8" w14:textId="109326B8" w:rsidR="00A05789" w:rsidRPr="00B34381" w:rsidRDefault="00A05789"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9</w:t>
      </w:r>
      <w:r w:rsidRPr="00B34381">
        <w:rPr>
          <w:b/>
          <w:bCs/>
          <w:szCs w:val="18"/>
          <w:lang w:val="sl-SI"/>
        </w:rPr>
        <w:t xml:space="preserve">: Odziv spremenljivk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230CBB">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s priseljevanjem povezane gospodarskopolitične negotovosti v Nemčiji</w:t>
      </w:r>
    </w:p>
    <w:p w14:paraId="12C8E9A8" w14:textId="77777777" w:rsidR="00A05789" w:rsidRPr="00B34381" w:rsidRDefault="00A05789" w:rsidP="00A05789">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40B891DF" w14:textId="77777777" w:rsidR="00A05789"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7F4DA205" wp14:editId="604D9ED0">
            <wp:extent cx="3042920" cy="2216785"/>
            <wp:effectExtent l="0" t="0" r="0" b="0"/>
            <wp:docPr id="10" name="Slika 10" descr="US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 EP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3C0E890" w14:textId="78412999" w:rsidR="00A05789" w:rsidRPr="00B34381" w:rsidRDefault="00A05789" w:rsidP="003A3DD0">
      <w:pPr>
        <w:keepNext/>
        <w:keepLines/>
        <w:widowControl w:val="0"/>
        <w:spacing w:after="0"/>
        <w:jc w:val="center"/>
        <w:rPr>
          <w:b/>
          <w:bCs/>
          <w:szCs w:val="18"/>
          <w:lang w:val="sl-SI"/>
        </w:rPr>
      </w:pPr>
      <w:r w:rsidRPr="00B34381">
        <w:rPr>
          <w:b/>
          <w:bCs/>
          <w:szCs w:val="18"/>
          <w:lang w:val="sl-SI"/>
        </w:rPr>
        <w:t xml:space="preserve">Slika </w:t>
      </w:r>
      <w:r w:rsidR="00275053" w:rsidRPr="00B34381">
        <w:rPr>
          <w:b/>
          <w:bCs/>
          <w:szCs w:val="18"/>
          <w:lang w:val="sl-SI"/>
        </w:rPr>
        <w:t>10</w:t>
      </w:r>
      <w:r w:rsidRPr="00B34381">
        <w:rPr>
          <w:b/>
          <w:bCs/>
          <w:szCs w:val="18"/>
          <w:lang w:val="sl-SI"/>
        </w:rPr>
        <w:t xml:space="preserve">: Odziv spremenljivk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230CBB">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gospodarskopolitične negotovosti v ZDA</w:t>
      </w:r>
    </w:p>
    <w:p w14:paraId="1AA699E8" w14:textId="77777777" w:rsidR="00A05789" w:rsidRPr="00B34381" w:rsidRDefault="00A05789" w:rsidP="00A05789">
      <w:pPr>
        <w:keepLines/>
        <w:widowControl w:val="0"/>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046B189A" w14:textId="77777777" w:rsidR="00DB13D6"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1CD27B4A" wp14:editId="51D084AC">
            <wp:extent cx="3042920" cy="2216785"/>
            <wp:effectExtent l="0" t="0" r="0" b="0"/>
            <wp:docPr id="11" name="Slika 11" descr="US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 MEPU"/>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1B9B6BB8" w14:textId="76E5BABB" w:rsidR="00DB13D6" w:rsidRPr="00B34381" w:rsidRDefault="00DB13D6" w:rsidP="003A3DD0">
      <w:pPr>
        <w:keepNext/>
        <w:keepLines/>
        <w:widowControl w:val="0"/>
        <w:spacing w:after="0"/>
        <w:jc w:val="center"/>
        <w:rPr>
          <w:b/>
          <w:bCs/>
          <w:szCs w:val="18"/>
          <w:lang w:val="sl-SI"/>
        </w:rPr>
      </w:pPr>
      <w:r w:rsidRPr="00B34381">
        <w:rPr>
          <w:b/>
          <w:bCs/>
          <w:szCs w:val="18"/>
          <w:lang w:val="sl-SI"/>
        </w:rPr>
        <w:t xml:space="preserve">Slika </w:t>
      </w:r>
      <w:r w:rsidR="00274827" w:rsidRPr="00B34381">
        <w:rPr>
          <w:b/>
          <w:bCs/>
          <w:szCs w:val="18"/>
          <w:lang w:val="sl-SI"/>
        </w:rPr>
        <w:t>1</w:t>
      </w:r>
      <w:r w:rsidR="00275053" w:rsidRPr="00B34381">
        <w:rPr>
          <w:b/>
          <w:bCs/>
          <w:szCs w:val="18"/>
          <w:lang w:val="sl-SI"/>
        </w:rPr>
        <w:t>1</w:t>
      </w:r>
      <w:r w:rsidRPr="00B34381">
        <w:rPr>
          <w:b/>
          <w:bCs/>
          <w:szCs w:val="18"/>
          <w:lang w:val="sl-SI"/>
        </w:rPr>
        <w:t xml:space="preserve">: Odziv spremenljivk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230CBB">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s priseljevanjem povezane gospodarskopolitične negotovosti v ZDA</w:t>
      </w:r>
    </w:p>
    <w:p w14:paraId="348025EC" w14:textId="77777777" w:rsidR="005911A4" w:rsidRPr="00B34381" w:rsidRDefault="00DB13D6" w:rsidP="003C35B7">
      <w:pPr>
        <w:jc w:val="center"/>
        <w:rPr>
          <w:szCs w:val="18"/>
          <w:lang w:val="sl-SI"/>
        </w:rPr>
      </w:pPr>
      <w:r w:rsidRPr="00B34381">
        <w:rPr>
          <w:szCs w:val="18"/>
          <w:lang w:val="sl-SI"/>
        </w:rPr>
        <w:t xml:space="preserve">Vir podatkov: gl. tabelo </w:t>
      </w:r>
      <w:r w:rsidR="008105C9" w:rsidRPr="00B34381">
        <w:rPr>
          <w:szCs w:val="18"/>
          <w:lang w:val="sl-SI"/>
        </w:rPr>
        <w:t>2</w:t>
      </w:r>
      <w:r w:rsidRPr="00B34381">
        <w:rPr>
          <w:szCs w:val="18"/>
          <w:lang w:val="sl-SI"/>
        </w:rPr>
        <w:t>, lastni izračuni.</w:t>
      </w:r>
    </w:p>
    <w:p w14:paraId="333B8B6D" w14:textId="77777777" w:rsidR="00274827"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77E9C91" wp14:editId="5F493799">
            <wp:extent cx="3042920" cy="2216785"/>
            <wp:effectExtent l="0" t="0" r="0" b="0"/>
            <wp:docPr id="12" name="Slika 12" descr="UK 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K EPU"/>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E60B363" w14:textId="6639845A" w:rsidR="00274827" w:rsidRPr="00B34381" w:rsidRDefault="00274827" w:rsidP="003A3DD0">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2</w:t>
      </w:r>
      <w:r w:rsidRPr="00B34381">
        <w:rPr>
          <w:b/>
          <w:bCs/>
          <w:szCs w:val="18"/>
          <w:lang w:val="sl-SI"/>
        </w:rPr>
        <w:t xml:space="preserve">: Odziv spremenljivk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230CBB">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gospodarskopolitične negotovosti v Združenem kraljestvu</w:t>
      </w:r>
    </w:p>
    <w:p w14:paraId="2ECE87D3" w14:textId="77777777" w:rsidR="00274827" w:rsidRPr="00B34381" w:rsidRDefault="00274827" w:rsidP="00274827">
      <w:pPr>
        <w:keepLines/>
        <w:widowControl w:val="0"/>
        <w:jc w:val="center"/>
        <w:rPr>
          <w:szCs w:val="18"/>
          <w:lang w:val="sl-SI"/>
        </w:rPr>
      </w:pPr>
      <w:r w:rsidRPr="00B34381">
        <w:rPr>
          <w:szCs w:val="18"/>
          <w:lang w:val="sl-SI"/>
        </w:rPr>
        <w:t>Vir podatkov: gl. tabelo 2, lastni izračuni.</w:t>
      </w:r>
    </w:p>
    <w:p w14:paraId="443D7F98" w14:textId="77777777" w:rsidR="00274827" w:rsidRPr="00B34381" w:rsidRDefault="00720295" w:rsidP="003C35B7">
      <w:pPr>
        <w:jc w:val="center"/>
        <w:rPr>
          <w:szCs w:val="18"/>
          <w:lang w:val="sl-SI"/>
        </w:rPr>
      </w:pPr>
      <w:r w:rsidRPr="00B34381">
        <w:rPr>
          <w:noProof/>
          <w:szCs w:val="18"/>
          <w:lang w:val="sl-SI" w:eastAsia="sl-SI"/>
        </w:rPr>
        <w:drawing>
          <wp:inline distT="0" distB="0" distL="0" distR="0" wp14:anchorId="16E6C904" wp14:editId="2EBA6F87">
            <wp:extent cx="3042920" cy="2216785"/>
            <wp:effectExtent l="0" t="0" r="0" b="0"/>
            <wp:docPr id="13" name="Slika 13" descr="UK M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K MEPU"/>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0654D12D" w14:textId="47976A9A" w:rsidR="00274827" w:rsidRPr="00B34381" w:rsidRDefault="00274827" w:rsidP="00274827">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3</w:t>
      </w:r>
      <w:r w:rsidRPr="00B34381">
        <w:rPr>
          <w:b/>
          <w:bCs/>
          <w:szCs w:val="18"/>
          <w:lang w:val="sl-SI"/>
        </w:rPr>
        <w:t xml:space="preserve">: Odziv spremenljivk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230CBB">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s priseljevanjem povezane gospodarskopolitične negotovosti v Združenem kraljestvu</w:t>
      </w:r>
    </w:p>
    <w:p w14:paraId="7EE94E7C" w14:textId="77777777" w:rsidR="00274827" w:rsidRPr="00B34381" w:rsidRDefault="00274827" w:rsidP="00274827">
      <w:pPr>
        <w:jc w:val="center"/>
        <w:rPr>
          <w:szCs w:val="18"/>
          <w:lang w:val="sl-SI"/>
        </w:rPr>
      </w:pPr>
      <w:r w:rsidRPr="00B34381">
        <w:rPr>
          <w:szCs w:val="18"/>
          <w:lang w:val="sl-SI"/>
        </w:rPr>
        <w:t>Vir podatkov: gl. tabelo 2, lastni izračuni.</w:t>
      </w:r>
    </w:p>
    <w:p w14:paraId="5774F284" w14:textId="7324A060" w:rsidR="00657A15" w:rsidRPr="00B34381" w:rsidRDefault="00657A15" w:rsidP="00785203">
      <w:pPr>
        <w:keepLines/>
        <w:widowControl w:val="0"/>
        <w:rPr>
          <w:szCs w:val="18"/>
          <w:lang w:val="sl-SI"/>
        </w:rPr>
      </w:pPr>
      <w:r w:rsidRPr="00B34381">
        <w:rPr>
          <w:szCs w:val="18"/>
          <w:lang w:val="sl-SI"/>
        </w:rPr>
        <w:lastRenderedPageBreak/>
        <w:t>Slika 1</w:t>
      </w:r>
      <w:r w:rsidR="00C17C05" w:rsidRPr="00B34381">
        <w:rPr>
          <w:szCs w:val="18"/>
          <w:lang w:val="sl-SI"/>
        </w:rPr>
        <w:t>4</w:t>
      </w:r>
      <w:r w:rsidRPr="00B34381">
        <w:rPr>
          <w:szCs w:val="18"/>
          <w:lang w:val="sl-SI"/>
        </w:rPr>
        <w:t xml:space="preserve"> kaže odziv spremenljivk epu, </w:t>
      </w:r>
      <w:proofErr w:type="spellStart"/>
      <w:r w:rsidRPr="00B34381">
        <w:rPr>
          <w:szCs w:val="18"/>
          <w:lang w:val="sl-SI"/>
        </w:rPr>
        <w:t>ir</w:t>
      </w:r>
      <w:proofErr w:type="spellEnd"/>
      <w:r w:rsidRPr="00B34381">
        <w:rPr>
          <w:szCs w:val="18"/>
          <w:lang w:val="sl-SI"/>
        </w:rPr>
        <w:t xml:space="preserve">, </w:t>
      </w:r>
      <w:proofErr w:type="spellStart"/>
      <w:r w:rsidRPr="00B34381">
        <w:rPr>
          <w:szCs w:val="18"/>
          <w:lang w:val="sl-SI"/>
        </w:rPr>
        <w:t>logipi</w:t>
      </w:r>
      <w:proofErr w:type="spellEnd"/>
      <w:r w:rsidRPr="00B34381">
        <w:rPr>
          <w:szCs w:val="18"/>
          <w:lang w:val="sl-SI"/>
        </w:rPr>
        <w:t xml:space="preserve">, </w:t>
      </w:r>
      <w:proofErr w:type="spellStart"/>
      <w:r w:rsidRPr="00B34381">
        <w:rPr>
          <w:szCs w:val="18"/>
          <w:lang w:val="sl-SI"/>
        </w:rPr>
        <w:t>logsp</w:t>
      </w:r>
      <w:proofErr w:type="spellEnd"/>
      <w:r w:rsidRPr="00B34381">
        <w:rPr>
          <w:szCs w:val="18"/>
          <w:lang w:val="sl-SI"/>
        </w:rPr>
        <w:t xml:space="preserve"> in </w:t>
      </w:r>
      <w:proofErr w:type="spellStart"/>
      <w:r w:rsidRPr="00B34381">
        <w:rPr>
          <w:szCs w:val="18"/>
          <w:lang w:val="sl-SI"/>
        </w:rPr>
        <w:t>logunrate</w:t>
      </w:r>
      <w:proofErr w:type="spellEnd"/>
      <w:r w:rsidRPr="00B34381">
        <w:rPr>
          <w:szCs w:val="18"/>
          <w:lang w:val="sl-SI"/>
        </w:rPr>
        <w:t xml:space="preserve"> na šok s priseljevanjem povezane gospodarskopolitične negotovosti </w:t>
      </w:r>
      <w:r w:rsidR="00CD0360">
        <w:rPr>
          <w:szCs w:val="18"/>
          <w:lang w:val="sl-SI"/>
        </w:rPr>
        <w:t xml:space="preserve">(v velikosti enega standardnega odklona) </w:t>
      </w:r>
      <w:r w:rsidRPr="00B34381">
        <w:rPr>
          <w:szCs w:val="18"/>
          <w:lang w:val="sl-SI"/>
        </w:rPr>
        <w:t>v Franciji.</w:t>
      </w:r>
      <w:r w:rsidR="00785203" w:rsidRPr="00B34381">
        <w:rPr>
          <w:szCs w:val="18"/>
          <w:lang w:val="sl-SI"/>
        </w:rPr>
        <w:t xml:space="preserve"> Abscisne osi kažejo četrtletja, ordinatne pa spremembe indeksa gospodarskopolitične negotovosti, obrestne mere, logaritma indeksa industrijske proizvodnje, logaritma cen delnic in logaritma stopnje brezposelnosti.</w:t>
      </w:r>
    </w:p>
    <w:p w14:paraId="717DB00B" w14:textId="35155590" w:rsidR="003D1BF7" w:rsidRPr="00B34381" w:rsidRDefault="00D14C2E" w:rsidP="00785203">
      <w:pPr>
        <w:keepLines/>
        <w:widowControl w:val="0"/>
        <w:rPr>
          <w:szCs w:val="18"/>
          <w:lang w:val="sl-SI"/>
        </w:rPr>
      </w:pPr>
      <w:r w:rsidRPr="00B34381">
        <w:rPr>
          <w:szCs w:val="18"/>
          <w:lang w:val="sl-SI"/>
        </w:rPr>
        <w:t xml:space="preserve">S </w:t>
      </w:r>
      <w:r w:rsidR="003D1BF7" w:rsidRPr="00B34381">
        <w:rPr>
          <w:szCs w:val="18"/>
          <w:lang w:val="sl-SI"/>
        </w:rPr>
        <w:t>slike 14 razberemo, da šok s priseljevanjem povezane gospodarskopolitične negotovosti zniža industrijsko proizvodnjo v Franciji.</w:t>
      </w:r>
    </w:p>
    <w:p w14:paraId="3C889B61" w14:textId="77777777" w:rsidR="00DC6408" w:rsidRPr="00B34381" w:rsidRDefault="00720295" w:rsidP="003A3DD0">
      <w:pPr>
        <w:keepNext/>
        <w:keepLines/>
        <w:widowControl w:val="0"/>
        <w:jc w:val="center"/>
        <w:rPr>
          <w:szCs w:val="18"/>
          <w:lang w:val="sl-SI"/>
        </w:rPr>
      </w:pPr>
      <w:r w:rsidRPr="00B34381">
        <w:rPr>
          <w:noProof/>
          <w:szCs w:val="18"/>
          <w:lang w:val="sl-SI" w:eastAsia="sl-SI"/>
        </w:rPr>
        <w:drawing>
          <wp:inline distT="0" distB="0" distL="0" distR="0" wp14:anchorId="4155560D" wp14:editId="01D2F98F">
            <wp:extent cx="3042920" cy="2216785"/>
            <wp:effectExtent l="0" t="0" r="0" b="0"/>
            <wp:docPr id="14" name="Slika 14" descr="FR EPU MEP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 EPU MEPU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2920" cy="2216785"/>
                    </a:xfrm>
                    <a:prstGeom prst="rect">
                      <a:avLst/>
                    </a:prstGeom>
                    <a:noFill/>
                    <a:ln>
                      <a:noFill/>
                    </a:ln>
                  </pic:spPr>
                </pic:pic>
              </a:graphicData>
            </a:graphic>
          </wp:inline>
        </w:drawing>
      </w:r>
    </w:p>
    <w:p w14:paraId="5FBDA184" w14:textId="16E18418" w:rsidR="00DC6408" w:rsidRPr="00B34381" w:rsidRDefault="00DC6408" w:rsidP="003A3DD0">
      <w:pPr>
        <w:keepNext/>
        <w:keepLines/>
        <w:widowControl w:val="0"/>
        <w:spacing w:after="0"/>
        <w:jc w:val="center"/>
        <w:rPr>
          <w:b/>
          <w:bCs/>
          <w:szCs w:val="18"/>
          <w:lang w:val="sl-SI"/>
        </w:rPr>
      </w:pPr>
      <w:r w:rsidRPr="00B34381">
        <w:rPr>
          <w:b/>
          <w:bCs/>
          <w:szCs w:val="18"/>
          <w:lang w:val="sl-SI"/>
        </w:rPr>
        <w:t>Slika 1</w:t>
      </w:r>
      <w:r w:rsidR="00275053" w:rsidRPr="00B34381">
        <w:rPr>
          <w:b/>
          <w:bCs/>
          <w:szCs w:val="18"/>
          <w:lang w:val="sl-SI"/>
        </w:rPr>
        <w:t>4</w:t>
      </w:r>
      <w:r w:rsidRPr="00B34381">
        <w:rPr>
          <w:b/>
          <w:bCs/>
          <w:szCs w:val="18"/>
          <w:lang w:val="sl-SI"/>
        </w:rPr>
        <w:t xml:space="preserve">: Odziv spremenljivk epu, </w:t>
      </w:r>
      <w:proofErr w:type="spellStart"/>
      <w:r w:rsidRPr="00B34381">
        <w:rPr>
          <w:b/>
          <w:bCs/>
          <w:szCs w:val="18"/>
          <w:lang w:val="sl-SI"/>
        </w:rPr>
        <w:t>ir</w:t>
      </w:r>
      <w:proofErr w:type="spellEnd"/>
      <w:r w:rsidRPr="00B34381">
        <w:rPr>
          <w:b/>
          <w:bCs/>
          <w:szCs w:val="18"/>
          <w:lang w:val="sl-SI"/>
        </w:rPr>
        <w:t xml:space="preserve">, </w:t>
      </w:r>
      <w:proofErr w:type="spellStart"/>
      <w:r w:rsidRPr="00B34381">
        <w:rPr>
          <w:b/>
          <w:bCs/>
          <w:szCs w:val="18"/>
          <w:lang w:val="sl-SI"/>
        </w:rPr>
        <w:t>logipi</w:t>
      </w:r>
      <w:proofErr w:type="spellEnd"/>
      <w:r w:rsidRPr="00B34381">
        <w:rPr>
          <w:b/>
          <w:bCs/>
          <w:szCs w:val="18"/>
          <w:lang w:val="sl-SI"/>
        </w:rPr>
        <w:t xml:space="preserve">, </w:t>
      </w:r>
      <w:proofErr w:type="spellStart"/>
      <w:r w:rsidRPr="00B34381">
        <w:rPr>
          <w:b/>
          <w:bCs/>
          <w:szCs w:val="18"/>
          <w:lang w:val="sl-SI"/>
        </w:rPr>
        <w:t>logsp</w:t>
      </w:r>
      <w:proofErr w:type="spellEnd"/>
      <w:r w:rsidR="00230CBB">
        <w:rPr>
          <w:b/>
          <w:bCs/>
          <w:szCs w:val="18"/>
          <w:lang w:val="sl-SI"/>
        </w:rPr>
        <w:t xml:space="preserve"> in</w:t>
      </w:r>
      <w:r w:rsidRPr="00B34381">
        <w:rPr>
          <w:b/>
          <w:bCs/>
          <w:szCs w:val="18"/>
          <w:lang w:val="sl-SI"/>
        </w:rPr>
        <w:t xml:space="preserve"> </w:t>
      </w:r>
      <w:proofErr w:type="spellStart"/>
      <w:r w:rsidRPr="00B34381">
        <w:rPr>
          <w:b/>
          <w:bCs/>
          <w:szCs w:val="18"/>
          <w:lang w:val="sl-SI"/>
        </w:rPr>
        <w:t>logunrate</w:t>
      </w:r>
      <w:proofErr w:type="spellEnd"/>
      <w:r w:rsidRPr="00B34381">
        <w:rPr>
          <w:b/>
          <w:bCs/>
          <w:szCs w:val="18"/>
          <w:lang w:val="sl-SI"/>
        </w:rPr>
        <w:t xml:space="preserve"> na šok s priseljevanjem povezane gospodarskopolitične negotovosti v Franciji</w:t>
      </w:r>
    </w:p>
    <w:p w14:paraId="08EA3786" w14:textId="77777777" w:rsidR="00DC6408" w:rsidRPr="00B34381" w:rsidRDefault="00DC6408" w:rsidP="00ED5401">
      <w:pPr>
        <w:jc w:val="center"/>
        <w:rPr>
          <w:szCs w:val="18"/>
          <w:lang w:val="sl-SI"/>
        </w:rPr>
      </w:pPr>
      <w:r w:rsidRPr="00B34381">
        <w:rPr>
          <w:szCs w:val="18"/>
          <w:lang w:val="sl-SI"/>
        </w:rPr>
        <w:t>Vir podatkov: gl. tabelo 2, lastni izračuni.</w:t>
      </w:r>
    </w:p>
    <w:p w14:paraId="1C60B8BE" w14:textId="77777777" w:rsidR="00BE2DB1" w:rsidRPr="00B34381" w:rsidRDefault="000277C3" w:rsidP="0043125B">
      <w:pPr>
        <w:pStyle w:val="Heading1"/>
        <w:spacing w:before="120"/>
        <w:rPr>
          <w:sz w:val="18"/>
          <w:szCs w:val="18"/>
          <w:lang w:val="sl-SI"/>
        </w:rPr>
      </w:pPr>
      <w:r w:rsidRPr="00B34381">
        <w:rPr>
          <w:sz w:val="18"/>
          <w:szCs w:val="18"/>
          <w:lang w:val="sl-SI"/>
        </w:rPr>
        <w:t>RAZPRAVA</w:t>
      </w:r>
      <w:r w:rsidR="0043125B" w:rsidRPr="00B34381">
        <w:rPr>
          <w:sz w:val="18"/>
          <w:szCs w:val="18"/>
          <w:lang w:val="sl-SI"/>
        </w:rPr>
        <w:t xml:space="preserve"> IN </w:t>
      </w:r>
      <w:r w:rsidR="00CD4CB0" w:rsidRPr="00B34381">
        <w:rPr>
          <w:sz w:val="18"/>
          <w:szCs w:val="18"/>
          <w:lang w:val="sl-SI"/>
        </w:rPr>
        <w:t>SKLE</w:t>
      </w:r>
      <w:r w:rsidR="00BE2DB1" w:rsidRPr="00B34381">
        <w:rPr>
          <w:sz w:val="18"/>
          <w:szCs w:val="18"/>
          <w:lang w:val="sl-SI"/>
        </w:rPr>
        <w:t>P</w:t>
      </w:r>
    </w:p>
    <w:p w14:paraId="459C192E" w14:textId="5621EB74" w:rsidR="0043125B" w:rsidRPr="00B34381" w:rsidRDefault="0043125B" w:rsidP="0043125B">
      <w:pPr>
        <w:rPr>
          <w:szCs w:val="18"/>
          <w:lang w:val="sl-SI"/>
        </w:rPr>
      </w:pPr>
      <w:r w:rsidRPr="00B34381">
        <w:rPr>
          <w:szCs w:val="18"/>
          <w:lang w:val="sl-SI"/>
        </w:rPr>
        <w:t xml:space="preserve">(S preseljevanjem povezana) gospodarskopolitična negotovost je priljubljena tema pogovorov med ekonomisti in oblikovalci politike. V tem prispevku smo proučevali vpliv šoka (s priseljevanjem povezane) gospodarskopolitične negotovosti na industrijsko proizvodnjo </w:t>
      </w:r>
      <w:r w:rsidR="00AD5FF4" w:rsidRPr="00B34381">
        <w:rPr>
          <w:szCs w:val="18"/>
          <w:lang w:val="sl-SI"/>
        </w:rPr>
        <w:t xml:space="preserve">in brezposelnost </w:t>
      </w:r>
      <w:r w:rsidRPr="00B34381">
        <w:rPr>
          <w:szCs w:val="18"/>
          <w:lang w:val="sl-SI"/>
        </w:rPr>
        <w:t xml:space="preserve">v Franciji, Nemčiji, ZDA </w:t>
      </w:r>
      <w:r w:rsidR="00191712">
        <w:rPr>
          <w:szCs w:val="18"/>
          <w:lang w:val="sl-SI"/>
        </w:rPr>
        <w:t>ter</w:t>
      </w:r>
      <w:r w:rsidRPr="00B34381">
        <w:rPr>
          <w:szCs w:val="18"/>
          <w:lang w:val="sl-SI"/>
        </w:rPr>
        <w:t xml:space="preserve"> Združenem kraljestvu. Ugotovili smo, da šok gospodarskopolitične negotovosti </w:t>
      </w:r>
      <w:r w:rsidR="00AD5FF4" w:rsidRPr="00B34381">
        <w:rPr>
          <w:szCs w:val="18"/>
          <w:lang w:val="sl-SI"/>
        </w:rPr>
        <w:t xml:space="preserve">zmanjša industrijsko proizvodnjo in </w:t>
      </w:r>
      <w:r w:rsidRPr="00B34381">
        <w:rPr>
          <w:szCs w:val="18"/>
          <w:lang w:val="sl-SI"/>
        </w:rPr>
        <w:t xml:space="preserve">poveča brezposelnost v vseh državah razen v Nemčiji. Ugotovili smo tudi, da šok s priseljevanjem povezane gospodarskopolitične negotovosti </w:t>
      </w:r>
      <w:r w:rsidR="00AD5FF4" w:rsidRPr="00B34381">
        <w:rPr>
          <w:szCs w:val="18"/>
          <w:lang w:val="sl-SI"/>
        </w:rPr>
        <w:t>zmanjša industrijsko proizvodnjo v Franciji</w:t>
      </w:r>
      <w:r w:rsidR="00E979B1" w:rsidRPr="00B34381">
        <w:rPr>
          <w:szCs w:val="18"/>
          <w:lang w:val="sl-SI"/>
        </w:rPr>
        <w:t>, v Nemčiji pa jo poveča</w:t>
      </w:r>
      <w:r w:rsidRPr="00B34381">
        <w:rPr>
          <w:szCs w:val="18"/>
          <w:lang w:val="sl-SI"/>
        </w:rPr>
        <w:t>. Te ugotovitve kažejo potrebo po preprečevanju (s priseljevanjem) povezane gospodarskopolitične negotovosti.</w:t>
      </w:r>
    </w:p>
    <w:p w14:paraId="107ED07B" w14:textId="77777777" w:rsidR="00C26708" w:rsidRPr="00B34381" w:rsidRDefault="00C26708" w:rsidP="00C26708">
      <w:pPr>
        <w:pStyle w:val="Heading1"/>
        <w:spacing w:before="120"/>
        <w:rPr>
          <w:sz w:val="18"/>
          <w:szCs w:val="18"/>
          <w:lang w:val="sl-SI"/>
        </w:rPr>
      </w:pPr>
      <w:r w:rsidRPr="00B34381">
        <w:rPr>
          <w:sz w:val="18"/>
          <w:szCs w:val="18"/>
          <w:lang w:val="sl-SI"/>
        </w:rPr>
        <w:t>ZAHVALA</w:t>
      </w:r>
    </w:p>
    <w:p w14:paraId="6C10BF32" w14:textId="39A70957" w:rsidR="00C26708" w:rsidRPr="00B34381" w:rsidRDefault="00C26708" w:rsidP="00C26708">
      <w:pPr>
        <w:rPr>
          <w:lang w:val="sl-SI"/>
        </w:rPr>
      </w:pPr>
      <w:r w:rsidRPr="00B34381">
        <w:rPr>
          <w:szCs w:val="18"/>
          <w:lang w:val="sl-SI"/>
        </w:rPr>
        <w:t>Zahvaljujemo se lektorjema za odpravo slovničnih in slogovnih napak</w:t>
      </w:r>
      <w:r w:rsidR="00B21FA1">
        <w:rPr>
          <w:szCs w:val="18"/>
          <w:lang w:val="sl-SI"/>
        </w:rPr>
        <w:t xml:space="preserve"> ter anonimnemu recenzentu za predlagane popravke.</w:t>
      </w:r>
    </w:p>
    <w:p w14:paraId="5983CA10" w14:textId="77777777" w:rsidR="008B197E" w:rsidRPr="00B34381" w:rsidRDefault="00CD4CB0" w:rsidP="00BE2DB1">
      <w:pPr>
        <w:pStyle w:val="Heading1"/>
        <w:spacing w:before="120"/>
        <w:rPr>
          <w:sz w:val="18"/>
          <w:szCs w:val="18"/>
          <w:lang w:val="sl-SI"/>
        </w:rPr>
      </w:pPr>
      <w:r w:rsidRPr="00B34381">
        <w:rPr>
          <w:sz w:val="18"/>
          <w:szCs w:val="18"/>
          <w:lang w:val="sl-SI"/>
        </w:rPr>
        <w:t>VIRI</w:t>
      </w:r>
    </w:p>
    <w:p w14:paraId="4E05A3A5" w14:textId="4963DBDD" w:rsidR="00AD45B7" w:rsidRPr="00B34381" w:rsidRDefault="00815161" w:rsidP="004A7DDB">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29" w:history="1">
        <w:r w:rsidRPr="00B34381">
          <w:rPr>
            <w:rStyle w:val="Hyperlink"/>
          </w:rPr>
          <w:t>https://doi.org/10.1093/qje/qjw024</w:t>
        </w:r>
      </w:hyperlink>
      <w:r w:rsidR="004A7DDB" w:rsidRPr="00B34381">
        <w:t>.</w:t>
      </w:r>
    </w:p>
    <w:p w14:paraId="0B4AFBA1" w14:textId="04759E3E" w:rsidR="000841C8" w:rsidRPr="00B34381" w:rsidRDefault="000841C8" w:rsidP="00412D19">
      <w:pPr>
        <w:pStyle w:val="References"/>
      </w:pPr>
      <w:r w:rsidRPr="00B34381">
        <w:t>United Nations, Department of Economic and Social Affairs, Population Division. 2019. World Population Prospects 2019: Online Edition.</w:t>
      </w:r>
    </w:p>
    <w:p w14:paraId="57DAE2BF" w14:textId="26224202"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0" w:history="1">
        <w:r w:rsidRPr="00B34381">
          <w:rPr>
            <w:rStyle w:val="Hyperlink"/>
          </w:rPr>
          <w:t>https://doi.org/10.1093/qje/qjw024</w:t>
        </w:r>
      </w:hyperlink>
      <w:r w:rsidRPr="00B34381">
        <w:t>.</w:t>
      </w:r>
    </w:p>
    <w:p w14:paraId="763A12C1" w14:textId="4B25A151" w:rsidR="00412D19" w:rsidRPr="00B34381" w:rsidRDefault="00412D19" w:rsidP="00AB30B4">
      <w:pPr>
        <w:pStyle w:val="References"/>
        <w:rPr>
          <w:szCs w:val="18"/>
          <w:lang w:val="sl-SI"/>
        </w:rPr>
      </w:pPr>
      <w:proofErr w:type="spellStart"/>
      <w:r w:rsidRPr="00B34381">
        <w:rPr>
          <w:lang w:val="sl-SI"/>
        </w:rPr>
        <w:t>Fraser</w:t>
      </w:r>
      <w:proofErr w:type="spellEnd"/>
      <w:r w:rsidRPr="00B34381">
        <w:rPr>
          <w:lang w:val="sl-SI"/>
        </w:rPr>
        <w:t xml:space="preserve">, T., in </w:t>
      </w:r>
      <w:proofErr w:type="spellStart"/>
      <w:r w:rsidRPr="00B34381">
        <w:rPr>
          <w:lang w:val="sl-SI"/>
        </w:rPr>
        <w:t>Üngör</w:t>
      </w:r>
      <w:proofErr w:type="spellEnd"/>
      <w:r w:rsidRPr="00B34381">
        <w:rPr>
          <w:lang w:val="sl-SI"/>
        </w:rPr>
        <w:t>, M. 2019.</w:t>
      </w:r>
      <w:r w:rsidR="00AB30B4" w:rsidRPr="00B34381">
        <w:rPr>
          <w:lang w:val="sl-SI"/>
        </w:rPr>
        <w:t xml:space="preserve"> </w:t>
      </w:r>
      <w:proofErr w:type="spellStart"/>
      <w:r w:rsidR="00AB30B4" w:rsidRPr="00B34381">
        <w:rPr>
          <w:lang w:val="sl-SI"/>
        </w:rPr>
        <w:t>Migration</w:t>
      </w:r>
      <w:proofErr w:type="spellEnd"/>
      <w:r w:rsidR="00AB30B4" w:rsidRPr="00B34381">
        <w:rPr>
          <w:lang w:val="sl-SI"/>
        </w:rPr>
        <w:t xml:space="preserve"> </w:t>
      </w:r>
      <w:proofErr w:type="spellStart"/>
      <w:r w:rsidR="00AB30B4" w:rsidRPr="00B34381">
        <w:rPr>
          <w:lang w:val="sl-SI"/>
        </w:rPr>
        <w:t>fears</w:t>
      </w:r>
      <w:proofErr w:type="spellEnd"/>
      <w:r w:rsidR="00AB30B4" w:rsidRPr="00B34381">
        <w:rPr>
          <w:lang w:val="sl-SI"/>
        </w:rPr>
        <w:t xml:space="preserve">, </w:t>
      </w:r>
      <w:proofErr w:type="spellStart"/>
      <w:r w:rsidR="00AB30B4" w:rsidRPr="00B34381">
        <w:rPr>
          <w:lang w:val="sl-SI"/>
        </w:rPr>
        <w:t>policy</w:t>
      </w:r>
      <w:proofErr w:type="spellEnd"/>
      <w:r w:rsidR="00AB30B4" w:rsidRPr="00B34381">
        <w:rPr>
          <w:lang w:val="sl-SI"/>
        </w:rPr>
        <w:t xml:space="preserve"> </w:t>
      </w:r>
      <w:proofErr w:type="spellStart"/>
      <w:r w:rsidR="00AB30B4" w:rsidRPr="00B34381">
        <w:rPr>
          <w:lang w:val="sl-SI"/>
        </w:rPr>
        <w:t>uncertainty</w:t>
      </w:r>
      <w:proofErr w:type="spellEnd"/>
      <w:r w:rsidR="00AB30B4" w:rsidRPr="00B34381">
        <w:rPr>
          <w:lang w:val="sl-SI"/>
        </w:rPr>
        <w:t xml:space="preserve"> </w:t>
      </w:r>
      <w:proofErr w:type="spellStart"/>
      <w:r w:rsidR="00AB30B4" w:rsidRPr="00B34381">
        <w:rPr>
          <w:lang w:val="sl-SI"/>
        </w:rPr>
        <w:t>and</w:t>
      </w:r>
      <w:proofErr w:type="spellEnd"/>
      <w:r w:rsidR="00AB30B4" w:rsidRPr="00B34381">
        <w:rPr>
          <w:lang w:val="sl-SI"/>
        </w:rPr>
        <w:t xml:space="preserve"> </w:t>
      </w:r>
      <w:proofErr w:type="spellStart"/>
      <w:r w:rsidR="00AB30B4" w:rsidRPr="00B34381">
        <w:rPr>
          <w:lang w:val="sl-SI"/>
        </w:rPr>
        <w:t>economic</w:t>
      </w:r>
      <w:proofErr w:type="spellEnd"/>
      <w:r w:rsidR="00AB30B4" w:rsidRPr="00B34381">
        <w:rPr>
          <w:lang w:val="sl-SI"/>
        </w:rPr>
        <w:t xml:space="preserve"> </w:t>
      </w:r>
      <w:proofErr w:type="spellStart"/>
      <w:r w:rsidR="00AB30B4" w:rsidRPr="00B34381">
        <w:rPr>
          <w:lang w:val="sl-SI"/>
        </w:rPr>
        <w:t>activity</w:t>
      </w:r>
      <w:proofErr w:type="spellEnd"/>
      <w:r w:rsidR="00AB30B4" w:rsidRPr="00B34381">
        <w:rPr>
          <w:lang w:val="sl-SI"/>
        </w:rPr>
        <w:t xml:space="preserve">. </w:t>
      </w:r>
      <w:proofErr w:type="spellStart"/>
      <w:r w:rsidR="00AB30B4" w:rsidRPr="00B34381">
        <w:rPr>
          <w:i/>
          <w:iCs/>
          <w:szCs w:val="18"/>
          <w:lang w:val="sl-SI"/>
        </w:rPr>
        <w:t>University</w:t>
      </w:r>
      <w:proofErr w:type="spellEnd"/>
      <w:r w:rsidR="00AB30B4" w:rsidRPr="00B34381">
        <w:rPr>
          <w:i/>
          <w:iCs/>
          <w:szCs w:val="18"/>
          <w:lang w:val="sl-SI"/>
        </w:rPr>
        <w:t xml:space="preserve"> </w:t>
      </w:r>
      <w:proofErr w:type="spellStart"/>
      <w:r w:rsidR="00AB30B4" w:rsidRPr="00B34381">
        <w:rPr>
          <w:i/>
          <w:iCs/>
          <w:szCs w:val="18"/>
          <w:lang w:val="sl-SI"/>
        </w:rPr>
        <w:t>of</w:t>
      </w:r>
      <w:proofErr w:type="spellEnd"/>
      <w:r w:rsidR="00AB30B4" w:rsidRPr="00B34381">
        <w:rPr>
          <w:i/>
          <w:iCs/>
          <w:szCs w:val="18"/>
          <w:lang w:val="sl-SI"/>
        </w:rPr>
        <w:t xml:space="preserve"> </w:t>
      </w:r>
      <w:proofErr w:type="spellStart"/>
      <w:r w:rsidR="00AB30B4" w:rsidRPr="00B34381">
        <w:rPr>
          <w:i/>
          <w:iCs/>
          <w:szCs w:val="18"/>
          <w:lang w:val="sl-SI"/>
        </w:rPr>
        <w:t>Otago</w:t>
      </w:r>
      <w:proofErr w:type="spellEnd"/>
      <w:r w:rsidR="00AB30B4" w:rsidRPr="00B34381">
        <w:rPr>
          <w:i/>
          <w:iCs/>
          <w:szCs w:val="18"/>
          <w:lang w:val="sl-SI"/>
        </w:rPr>
        <w:t xml:space="preserve"> </w:t>
      </w:r>
      <w:proofErr w:type="spellStart"/>
      <w:r w:rsidR="00AB30B4" w:rsidRPr="00B34381">
        <w:rPr>
          <w:i/>
          <w:iCs/>
          <w:szCs w:val="18"/>
          <w:lang w:val="sl-SI"/>
        </w:rPr>
        <w:t>Economics</w:t>
      </w:r>
      <w:proofErr w:type="spellEnd"/>
      <w:r w:rsidR="00AB30B4" w:rsidRPr="00B34381">
        <w:rPr>
          <w:i/>
          <w:iCs/>
          <w:szCs w:val="18"/>
          <w:lang w:val="sl-SI"/>
        </w:rPr>
        <w:t xml:space="preserve"> </w:t>
      </w:r>
      <w:proofErr w:type="spellStart"/>
      <w:r w:rsidR="00AB30B4" w:rsidRPr="00B34381">
        <w:rPr>
          <w:i/>
          <w:iCs/>
          <w:szCs w:val="18"/>
          <w:lang w:val="sl-SI"/>
        </w:rPr>
        <w:t>Discussion</w:t>
      </w:r>
      <w:proofErr w:type="spellEnd"/>
      <w:r w:rsidR="00AB30B4" w:rsidRPr="00B34381">
        <w:rPr>
          <w:i/>
          <w:iCs/>
          <w:szCs w:val="18"/>
          <w:lang w:val="sl-SI"/>
        </w:rPr>
        <w:t xml:space="preserve"> </w:t>
      </w:r>
      <w:proofErr w:type="spellStart"/>
      <w:r w:rsidR="00AB30B4" w:rsidRPr="00B34381">
        <w:rPr>
          <w:i/>
          <w:iCs/>
          <w:szCs w:val="18"/>
          <w:lang w:val="sl-SI"/>
        </w:rPr>
        <w:t>Papers</w:t>
      </w:r>
      <w:proofErr w:type="spellEnd"/>
      <w:r w:rsidR="00AB30B4" w:rsidRPr="00B34381">
        <w:rPr>
          <w:i/>
          <w:iCs/>
          <w:szCs w:val="18"/>
          <w:lang w:val="sl-SI"/>
        </w:rPr>
        <w:t xml:space="preserve"> No. 1907.</w:t>
      </w:r>
      <w:r w:rsidR="00AB30B4" w:rsidRPr="00B34381">
        <w:rPr>
          <w:szCs w:val="18"/>
          <w:lang w:val="sl-SI"/>
        </w:rPr>
        <w:t xml:space="preserve"> </w:t>
      </w:r>
      <w:hyperlink r:id="rId31" w:history="1">
        <w:r w:rsidR="00AB30B4" w:rsidRPr="00B34381">
          <w:rPr>
            <w:rStyle w:val="Hyperlink"/>
          </w:rPr>
          <w:t>https://www.otago.ac.nz/economics/otago709661.pdf</w:t>
        </w:r>
      </w:hyperlink>
      <w:r w:rsidR="00AB30B4" w:rsidRPr="00B34381">
        <w:t xml:space="preserve">, </w:t>
      </w:r>
      <w:proofErr w:type="spellStart"/>
      <w:r w:rsidR="00AB30B4" w:rsidRPr="00B34381">
        <w:t>dostop</w:t>
      </w:r>
      <w:proofErr w:type="spellEnd"/>
      <w:r w:rsidR="00AB30B4" w:rsidRPr="00B34381">
        <w:t xml:space="preserve"> 20. 8. 2019.</w:t>
      </w:r>
    </w:p>
    <w:p w14:paraId="5513AFBF" w14:textId="1CA8B181" w:rsidR="00412D19" w:rsidRPr="00B34381" w:rsidRDefault="00412D19" w:rsidP="004A7DDB">
      <w:pPr>
        <w:pStyle w:val="References"/>
      </w:pPr>
      <w:proofErr w:type="spellStart"/>
      <w:r w:rsidRPr="00B34381">
        <w:rPr>
          <w:lang w:val="sl-SI"/>
        </w:rPr>
        <w:t>Donadelli</w:t>
      </w:r>
      <w:proofErr w:type="spellEnd"/>
      <w:r w:rsidRPr="00B34381">
        <w:rPr>
          <w:lang w:val="sl-SI"/>
        </w:rPr>
        <w:t xml:space="preserve">, M., </w:t>
      </w:r>
      <w:proofErr w:type="spellStart"/>
      <w:r w:rsidRPr="00B34381">
        <w:rPr>
          <w:lang w:val="sl-SI"/>
        </w:rPr>
        <w:t>Gerotto</w:t>
      </w:r>
      <w:proofErr w:type="spellEnd"/>
      <w:r w:rsidRPr="00B34381">
        <w:rPr>
          <w:lang w:val="sl-SI"/>
        </w:rPr>
        <w:t xml:space="preserve">, L., </w:t>
      </w:r>
      <w:proofErr w:type="spellStart"/>
      <w:r w:rsidRPr="00B34381">
        <w:rPr>
          <w:lang w:val="sl-SI"/>
        </w:rPr>
        <w:t>Luccheta</w:t>
      </w:r>
      <w:proofErr w:type="spellEnd"/>
      <w:r w:rsidRPr="00B34381">
        <w:rPr>
          <w:lang w:val="sl-SI"/>
        </w:rPr>
        <w:t xml:space="preserve">, M. in </w:t>
      </w:r>
      <w:proofErr w:type="spellStart"/>
      <w:r w:rsidRPr="00B34381">
        <w:rPr>
          <w:lang w:val="sl-SI"/>
        </w:rPr>
        <w:t>Arzu</w:t>
      </w:r>
      <w:proofErr w:type="spellEnd"/>
      <w:r w:rsidRPr="00B34381">
        <w:rPr>
          <w:lang w:val="sl-SI"/>
        </w:rPr>
        <w:t>, D. 2019.</w:t>
      </w:r>
      <w:r w:rsidR="00AB30B4" w:rsidRPr="00B34381">
        <w:rPr>
          <w:lang w:val="sl-SI"/>
        </w:rPr>
        <w:t xml:space="preserve"> </w:t>
      </w:r>
      <w:proofErr w:type="spellStart"/>
      <w:r w:rsidR="00AB30B4" w:rsidRPr="00B34381">
        <w:rPr>
          <w:lang w:val="sl-SI"/>
        </w:rPr>
        <w:t>Immigration</w:t>
      </w:r>
      <w:proofErr w:type="spellEnd"/>
      <w:r w:rsidR="00AB30B4" w:rsidRPr="00B34381">
        <w:rPr>
          <w:lang w:val="sl-SI"/>
        </w:rPr>
        <w:t xml:space="preserve">, </w:t>
      </w:r>
      <w:proofErr w:type="spellStart"/>
      <w:r w:rsidR="00AB30B4" w:rsidRPr="00B34381">
        <w:rPr>
          <w:lang w:val="sl-SI"/>
        </w:rPr>
        <w:t>uncertainty</w:t>
      </w:r>
      <w:proofErr w:type="spellEnd"/>
      <w:r w:rsidR="00AB30B4" w:rsidRPr="00B34381">
        <w:rPr>
          <w:lang w:val="sl-SI"/>
        </w:rPr>
        <w:t xml:space="preserve">, </w:t>
      </w:r>
      <w:proofErr w:type="spellStart"/>
      <w:r w:rsidR="00AB30B4" w:rsidRPr="00B34381">
        <w:rPr>
          <w:lang w:val="sl-SI"/>
        </w:rPr>
        <w:t>and</w:t>
      </w:r>
      <w:proofErr w:type="spellEnd"/>
      <w:r w:rsidR="00AB30B4" w:rsidRPr="00B34381">
        <w:rPr>
          <w:lang w:val="sl-SI"/>
        </w:rPr>
        <w:t xml:space="preserve"> </w:t>
      </w:r>
      <w:proofErr w:type="spellStart"/>
      <w:r w:rsidR="00AB30B4" w:rsidRPr="00B34381">
        <w:rPr>
          <w:lang w:val="sl-SI"/>
        </w:rPr>
        <w:t>macroeconomic</w:t>
      </w:r>
      <w:proofErr w:type="spellEnd"/>
      <w:r w:rsidR="00AB30B4" w:rsidRPr="00B34381">
        <w:rPr>
          <w:lang w:val="sl-SI"/>
        </w:rPr>
        <w:t xml:space="preserve"> </w:t>
      </w:r>
      <w:proofErr w:type="spellStart"/>
      <w:r w:rsidR="00AB30B4" w:rsidRPr="00B34381">
        <w:rPr>
          <w:lang w:val="sl-SI"/>
        </w:rPr>
        <w:t>dynamics</w:t>
      </w:r>
      <w:proofErr w:type="spellEnd"/>
      <w:r w:rsidR="00AB30B4" w:rsidRPr="00B34381">
        <w:rPr>
          <w:lang w:val="sl-SI"/>
        </w:rPr>
        <w:t xml:space="preserve">. </w:t>
      </w:r>
      <w:proofErr w:type="spellStart"/>
      <w:r w:rsidR="00AB30B4" w:rsidRPr="00B34381">
        <w:rPr>
          <w:i/>
          <w:iCs/>
          <w:lang w:val="sl-SI"/>
        </w:rPr>
        <w:t>The</w:t>
      </w:r>
      <w:proofErr w:type="spellEnd"/>
      <w:r w:rsidR="00AB30B4" w:rsidRPr="00B34381">
        <w:rPr>
          <w:i/>
          <w:iCs/>
          <w:lang w:val="sl-SI"/>
        </w:rPr>
        <w:t xml:space="preserve"> </w:t>
      </w:r>
      <w:proofErr w:type="spellStart"/>
      <w:r w:rsidR="00AB30B4" w:rsidRPr="00B34381">
        <w:rPr>
          <w:i/>
          <w:iCs/>
          <w:lang w:val="sl-SI"/>
        </w:rPr>
        <w:t>World</w:t>
      </w:r>
      <w:proofErr w:type="spellEnd"/>
      <w:r w:rsidR="00AB30B4" w:rsidRPr="00B34381">
        <w:rPr>
          <w:i/>
          <w:iCs/>
          <w:lang w:val="sl-SI"/>
        </w:rPr>
        <w:t xml:space="preserve"> </w:t>
      </w:r>
      <w:proofErr w:type="spellStart"/>
      <w:r w:rsidR="00AB30B4" w:rsidRPr="00B34381">
        <w:rPr>
          <w:i/>
          <w:iCs/>
          <w:lang w:val="sl-SI"/>
        </w:rPr>
        <w:t>Economy</w:t>
      </w:r>
      <w:proofErr w:type="spellEnd"/>
      <w:r w:rsidR="00AB30B4" w:rsidRPr="00B34381">
        <w:rPr>
          <w:i/>
          <w:iCs/>
          <w:lang w:val="sl-SI"/>
        </w:rPr>
        <w:t xml:space="preserve">. </w:t>
      </w:r>
      <w:r w:rsidR="0038773C" w:rsidRPr="00B34381">
        <w:rPr>
          <w:lang w:val="sl-SI"/>
        </w:rPr>
        <w:t>DOI=</w:t>
      </w:r>
      <w:r w:rsidR="0038773C" w:rsidRPr="00B34381">
        <w:t xml:space="preserve"> </w:t>
      </w:r>
      <w:hyperlink r:id="rId32" w:history="1">
        <w:r w:rsidR="0038773C" w:rsidRPr="00B34381">
          <w:rPr>
            <w:rStyle w:val="Hyperlink"/>
            <w:lang w:val="sl-SI"/>
          </w:rPr>
          <w:t>https://doi.org/10.1111/twec.12865</w:t>
        </w:r>
      </w:hyperlink>
      <w:r w:rsidR="0038773C" w:rsidRPr="00B34381">
        <w:rPr>
          <w:lang w:val="sl-SI"/>
        </w:rPr>
        <w:t>.</w:t>
      </w:r>
    </w:p>
    <w:p w14:paraId="7E16FC7E" w14:textId="7EBF9247" w:rsidR="00412D19" w:rsidRPr="00B34381" w:rsidRDefault="00412D19" w:rsidP="004A7DDB">
      <w:pPr>
        <w:pStyle w:val="References"/>
      </w:pPr>
      <w:proofErr w:type="spellStart"/>
      <w:r w:rsidRPr="00B34381">
        <w:rPr>
          <w:szCs w:val="18"/>
          <w:lang w:val="sl-SI"/>
        </w:rPr>
        <w:t>Caggiano</w:t>
      </w:r>
      <w:proofErr w:type="spellEnd"/>
      <w:r w:rsidRPr="00B34381">
        <w:rPr>
          <w:szCs w:val="18"/>
          <w:lang w:val="sl-SI"/>
        </w:rPr>
        <w:t xml:space="preserve">, </w:t>
      </w:r>
      <w:r w:rsidR="003163E8" w:rsidRPr="00B34381">
        <w:rPr>
          <w:szCs w:val="18"/>
          <w:lang w:val="sl-SI"/>
        </w:rPr>
        <w:t xml:space="preserve">G., </w:t>
      </w:r>
      <w:proofErr w:type="spellStart"/>
      <w:r w:rsidRPr="00B34381">
        <w:rPr>
          <w:szCs w:val="18"/>
          <w:lang w:val="sl-SI"/>
        </w:rPr>
        <w:t>Caselnuovo</w:t>
      </w:r>
      <w:proofErr w:type="spellEnd"/>
      <w:r w:rsidR="003163E8" w:rsidRPr="00B34381">
        <w:rPr>
          <w:szCs w:val="18"/>
          <w:lang w:val="sl-SI"/>
        </w:rPr>
        <w:t>, E.,</w:t>
      </w:r>
      <w:r w:rsidRPr="00B34381">
        <w:rPr>
          <w:szCs w:val="18"/>
          <w:lang w:val="sl-SI"/>
        </w:rPr>
        <w:t xml:space="preserve"> in </w:t>
      </w:r>
      <w:proofErr w:type="spellStart"/>
      <w:r w:rsidRPr="00B34381">
        <w:rPr>
          <w:szCs w:val="18"/>
          <w:lang w:val="sl-SI"/>
        </w:rPr>
        <w:t>Figueres</w:t>
      </w:r>
      <w:proofErr w:type="spellEnd"/>
      <w:r w:rsidR="003163E8" w:rsidRPr="00B34381">
        <w:rPr>
          <w:szCs w:val="18"/>
          <w:lang w:val="sl-SI"/>
        </w:rPr>
        <w:t>, J. M</w:t>
      </w:r>
      <w:r w:rsidRPr="00B34381">
        <w:rPr>
          <w:szCs w:val="18"/>
          <w:lang w:val="sl-SI"/>
        </w:rPr>
        <w:t>. 201</w:t>
      </w:r>
      <w:r w:rsidR="003163E8" w:rsidRPr="00B34381">
        <w:rPr>
          <w:szCs w:val="18"/>
          <w:lang w:val="sl-SI"/>
        </w:rPr>
        <w:t>9</w:t>
      </w:r>
      <w:r w:rsidRPr="00B34381">
        <w:rPr>
          <w:szCs w:val="18"/>
          <w:lang w:val="sl-SI"/>
        </w:rPr>
        <w:t>.</w:t>
      </w:r>
      <w:r w:rsidR="003163E8" w:rsidRPr="00B34381">
        <w:rPr>
          <w:szCs w:val="18"/>
          <w:lang w:val="sl-SI"/>
        </w:rPr>
        <w:t xml:space="preserve"> </w:t>
      </w:r>
      <w:proofErr w:type="spellStart"/>
      <w:r w:rsidR="003163E8" w:rsidRPr="00B34381">
        <w:rPr>
          <w:szCs w:val="18"/>
          <w:lang w:val="sl-SI"/>
        </w:rPr>
        <w:t>Economic</w:t>
      </w:r>
      <w:proofErr w:type="spellEnd"/>
      <w:r w:rsidR="003163E8" w:rsidRPr="00B34381">
        <w:rPr>
          <w:szCs w:val="18"/>
          <w:lang w:val="sl-SI"/>
        </w:rPr>
        <w:t xml:space="preserve"> </w:t>
      </w:r>
      <w:proofErr w:type="spellStart"/>
      <w:r w:rsidR="003163E8" w:rsidRPr="00B34381">
        <w:rPr>
          <w:szCs w:val="18"/>
          <w:lang w:val="sl-SI"/>
        </w:rPr>
        <w:t>policy</w:t>
      </w:r>
      <w:proofErr w:type="spellEnd"/>
      <w:r w:rsidR="003163E8" w:rsidRPr="00B34381">
        <w:rPr>
          <w:szCs w:val="18"/>
          <w:lang w:val="sl-SI"/>
        </w:rPr>
        <w:t xml:space="preserve"> </w:t>
      </w:r>
      <w:proofErr w:type="spellStart"/>
      <w:r w:rsidR="003163E8" w:rsidRPr="00B34381">
        <w:rPr>
          <w:szCs w:val="18"/>
          <w:lang w:val="sl-SI"/>
        </w:rPr>
        <w:t>uncertainty</w:t>
      </w:r>
      <w:proofErr w:type="spellEnd"/>
      <w:r w:rsidR="003163E8" w:rsidRPr="00B34381">
        <w:rPr>
          <w:szCs w:val="18"/>
          <w:lang w:val="sl-SI"/>
        </w:rPr>
        <w:t xml:space="preserve"> </w:t>
      </w:r>
      <w:proofErr w:type="spellStart"/>
      <w:r w:rsidR="003163E8" w:rsidRPr="00B34381">
        <w:rPr>
          <w:szCs w:val="18"/>
          <w:lang w:val="sl-SI"/>
        </w:rPr>
        <w:t>spillovers</w:t>
      </w:r>
      <w:proofErr w:type="spellEnd"/>
      <w:r w:rsidR="003163E8" w:rsidRPr="00B34381">
        <w:rPr>
          <w:szCs w:val="18"/>
          <w:lang w:val="sl-SI"/>
        </w:rPr>
        <w:t xml:space="preserve"> in </w:t>
      </w:r>
      <w:proofErr w:type="spellStart"/>
      <w:r w:rsidR="003163E8" w:rsidRPr="00B34381">
        <w:rPr>
          <w:szCs w:val="18"/>
          <w:lang w:val="sl-SI"/>
        </w:rPr>
        <w:t>booms</w:t>
      </w:r>
      <w:proofErr w:type="spellEnd"/>
      <w:r w:rsidR="003163E8" w:rsidRPr="00B34381">
        <w:rPr>
          <w:szCs w:val="18"/>
          <w:lang w:val="sl-SI"/>
        </w:rPr>
        <w:t xml:space="preserve"> </w:t>
      </w:r>
      <w:proofErr w:type="spellStart"/>
      <w:r w:rsidR="003163E8" w:rsidRPr="00B34381">
        <w:rPr>
          <w:szCs w:val="18"/>
          <w:lang w:val="sl-SI"/>
        </w:rPr>
        <w:t>and</w:t>
      </w:r>
      <w:proofErr w:type="spellEnd"/>
      <w:r w:rsidR="003163E8" w:rsidRPr="00B34381">
        <w:rPr>
          <w:szCs w:val="18"/>
          <w:lang w:val="sl-SI"/>
        </w:rPr>
        <w:t xml:space="preserve"> </w:t>
      </w:r>
      <w:proofErr w:type="spellStart"/>
      <w:r w:rsidR="003163E8" w:rsidRPr="00B34381">
        <w:rPr>
          <w:szCs w:val="18"/>
          <w:lang w:val="sl-SI"/>
        </w:rPr>
        <w:t>busts</w:t>
      </w:r>
      <w:proofErr w:type="spellEnd"/>
      <w:r w:rsidR="003163E8" w:rsidRPr="00B34381">
        <w:rPr>
          <w:szCs w:val="18"/>
          <w:lang w:val="sl-SI"/>
        </w:rPr>
        <w:t xml:space="preserve">. </w:t>
      </w:r>
      <w:r w:rsidR="003163E8" w:rsidRPr="00B34381">
        <w:rPr>
          <w:i/>
          <w:iCs/>
          <w:szCs w:val="18"/>
          <w:lang w:val="sl-SI"/>
        </w:rPr>
        <w:t xml:space="preserve">Oxford </w:t>
      </w:r>
      <w:proofErr w:type="spellStart"/>
      <w:r w:rsidR="003163E8" w:rsidRPr="00B34381">
        <w:rPr>
          <w:i/>
          <w:iCs/>
          <w:szCs w:val="18"/>
          <w:lang w:val="sl-SI"/>
        </w:rPr>
        <w:t>Bulletin</w:t>
      </w:r>
      <w:proofErr w:type="spellEnd"/>
      <w:r w:rsidR="003163E8" w:rsidRPr="00B34381">
        <w:rPr>
          <w:i/>
          <w:iCs/>
          <w:szCs w:val="18"/>
          <w:lang w:val="sl-SI"/>
        </w:rPr>
        <w:t xml:space="preserve"> </w:t>
      </w:r>
      <w:proofErr w:type="spellStart"/>
      <w:r w:rsidR="003163E8" w:rsidRPr="00B34381">
        <w:rPr>
          <w:i/>
          <w:iCs/>
          <w:szCs w:val="18"/>
          <w:lang w:val="sl-SI"/>
        </w:rPr>
        <w:t>of</w:t>
      </w:r>
      <w:proofErr w:type="spellEnd"/>
      <w:r w:rsidR="003163E8" w:rsidRPr="00B34381">
        <w:rPr>
          <w:i/>
          <w:iCs/>
          <w:szCs w:val="18"/>
          <w:lang w:val="sl-SI"/>
        </w:rPr>
        <w:t xml:space="preserve"> </w:t>
      </w:r>
      <w:proofErr w:type="spellStart"/>
      <w:r w:rsidR="003163E8" w:rsidRPr="00B34381">
        <w:rPr>
          <w:i/>
          <w:iCs/>
          <w:szCs w:val="18"/>
          <w:lang w:val="sl-SI"/>
        </w:rPr>
        <w:t>Economics</w:t>
      </w:r>
      <w:proofErr w:type="spellEnd"/>
      <w:r w:rsidR="003163E8" w:rsidRPr="00B34381">
        <w:rPr>
          <w:i/>
          <w:iCs/>
          <w:szCs w:val="18"/>
          <w:lang w:val="sl-SI"/>
        </w:rPr>
        <w:t xml:space="preserve"> </w:t>
      </w:r>
      <w:proofErr w:type="spellStart"/>
      <w:r w:rsidR="003163E8" w:rsidRPr="00B34381">
        <w:rPr>
          <w:i/>
          <w:iCs/>
          <w:szCs w:val="18"/>
          <w:lang w:val="sl-SI"/>
        </w:rPr>
        <w:t>and</w:t>
      </w:r>
      <w:proofErr w:type="spellEnd"/>
      <w:r w:rsidR="003163E8" w:rsidRPr="00B34381">
        <w:rPr>
          <w:i/>
          <w:iCs/>
          <w:szCs w:val="18"/>
          <w:lang w:val="sl-SI"/>
        </w:rPr>
        <w:t xml:space="preserve"> </w:t>
      </w:r>
      <w:proofErr w:type="spellStart"/>
      <w:r w:rsidR="003163E8" w:rsidRPr="00B34381">
        <w:rPr>
          <w:i/>
          <w:iCs/>
          <w:szCs w:val="18"/>
          <w:lang w:val="sl-SI"/>
        </w:rPr>
        <w:t>Statistics</w:t>
      </w:r>
      <w:proofErr w:type="spellEnd"/>
      <w:r w:rsidR="003163E8" w:rsidRPr="00B34381">
        <w:rPr>
          <w:i/>
          <w:iCs/>
          <w:szCs w:val="18"/>
          <w:lang w:val="sl-SI"/>
        </w:rPr>
        <w:t xml:space="preserve">. </w:t>
      </w:r>
      <w:r w:rsidR="003163E8" w:rsidRPr="00B34381">
        <w:rPr>
          <w:szCs w:val="18"/>
          <w:lang w:val="sl-SI"/>
        </w:rPr>
        <w:t>DOI=</w:t>
      </w:r>
      <w:r w:rsidR="003163E8" w:rsidRPr="00B34381">
        <w:t xml:space="preserve"> </w:t>
      </w:r>
      <w:hyperlink r:id="rId33" w:history="1">
        <w:r w:rsidR="003163E8" w:rsidRPr="00B34381">
          <w:rPr>
            <w:rStyle w:val="Hyperlink"/>
            <w:szCs w:val="18"/>
            <w:lang w:val="sl-SI"/>
          </w:rPr>
          <w:t>https://doi.org/10.1111/obes.12323</w:t>
        </w:r>
      </w:hyperlink>
      <w:r w:rsidR="003163E8" w:rsidRPr="00B34381">
        <w:rPr>
          <w:szCs w:val="18"/>
          <w:lang w:val="sl-SI"/>
        </w:rPr>
        <w:t>.</w:t>
      </w:r>
    </w:p>
    <w:p w14:paraId="6E908BF8"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4" w:history="1">
        <w:r w:rsidRPr="00B34381">
          <w:rPr>
            <w:rStyle w:val="Hyperlink"/>
          </w:rPr>
          <w:t>https://doi.org/10.1093/qje/qjw024</w:t>
        </w:r>
      </w:hyperlink>
      <w:r w:rsidRPr="00B34381">
        <w:t>.</w:t>
      </w:r>
    </w:p>
    <w:p w14:paraId="3A5698D0"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5" w:history="1">
        <w:r w:rsidRPr="00B34381">
          <w:rPr>
            <w:rStyle w:val="Hyperlink"/>
          </w:rPr>
          <w:t>https://doi.org/10.1093/qje/qjw024</w:t>
        </w:r>
      </w:hyperlink>
      <w:r w:rsidRPr="00B34381">
        <w:t>.</w:t>
      </w:r>
    </w:p>
    <w:p w14:paraId="273136CF" w14:textId="77777777" w:rsidR="00412D19" w:rsidRPr="00B34381" w:rsidRDefault="00412D19" w:rsidP="00412D19">
      <w:pPr>
        <w:pStyle w:val="References"/>
      </w:pPr>
      <w:r w:rsidRPr="00B34381">
        <w:t xml:space="preserve">Baker, S. R., Bloom, N., in Davis, S. J. 2016. Measuring economic policy uncertainty. </w:t>
      </w:r>
      <w:r w:rsidRPr="00B34381">
        <w:rPr>
          <w:i/>
          <w:iCs/>
        </w:rPr>
        <w:t>The Quarterly Journal of Economics</w:t>
      </w:r>
      <w:r w:rsidRPr="00B34381">
        <w:t xml:space="preserve"> 131, 4, 1593–1636. DOI= </w:t>
      </w:r>
      <w:hyperlink r:id="rId36" w:history="1">
        <w:r w:rsidRPr="00B34381">
          <w:rPr>
            <w:rStyle w:val="Hyperlink"/>
          </w:rPr>
          <w:t>https://doi.org/10.1093/qje/qjw024</w:t>
        </w:r>
      </w:hyperlink>
      <w:r w:rsidRPr="00B34381">
        <w:t>.</w:t>
      </w:r>
    </w:p>
    <w:p w14:paraId="55124E1C" w14:textId="77777777" w:rsidR="003163E8" w:rsidRPr="00B34381" w:rsidRDefault="003163E8" w:rsidP="003163E8">
      <w:pPr>
        <w:pStyle w:val="References"/>
      </w:pPr>
      <w:proofErr w:type="spellStart"/>
      <w:r w:rsidRPr="00B34381">
        <w:rPr>
          <w:szCs w:val="18"/>
          <w:lang w:val="sl-SI"/>
        </w:rPr>
        <w:t>Caggiano</w:t>
      </w:r>
      <w:proofErr w:type="spellEnd"/>
      <w:r w:rsidRPr="00B34381">
        <w:rPr>
          <w:szCs w:val="18"/>
          <w:lang w:val="sl-SI"/>
        </w:rPr>
        <w:t xml:space="preserve">, G., </w:t>
      </w:r>
      <w:proofErr w:type="spellStart"/>
      <w:r w:rsidRPr="00B34381">
        <w:rPr>
          <w:szCs w:val="18"/>
          <w:lang w:val="sl-SI"/>
        </w:rPr>
        <w:t>Caselnuovo</w:t>
      </w:r>
      <w:proofErr w:type="spellEnd"/>
      <w:r w:rsidRPr="00B34381">
        <w:rPr>
          <w:szCs w:val="18"/>
          <w:lang w:val="sl-SI"/>
        </w:rPr>
        <w:t xml:space="preserve">, E., in </w:t>
      </w:r>
      <w:proofErr w:type="spellStart"/>
      <w:r w:rsidRPr="00B34381">
        <w:rPr>
          <w:szCs w:val="18"/>
          <w:lang w:val="sl-SI"/>
        </w:rPr>
        <w:t>Figueres</w:t>
      </w:r>
      <w:proofErr w:type="spellEnd"/>
      <w:r w:rsidRPr="00B34381">
        <w:rPr>
          <w:szCs w:val="18"/>
          <w:lang w:val="sl-SI"/>
        </w:rPr>
        <w:t xml:space="preserve">, J. M. 2019. </w:t>
      </w:r>
      <w:proofErr w:type="spellStart"/>
      <w:r w:rsidRPr="00B34381">
        <w:rPr>
          <w:szCs w:val="18"/>
          <w:lang w:val="sl-SI"/>
        </w:rPr>
        <w:t>Economic</w:t>
      </w:r>
      <w:proofErr w:type="spellEnd"/>
      <w:r w:rsidRPr="00B34381">
        <w:rPr>
          <w:szCs w:val="18"/>
          <w:lang w:val="sl-SI"/>
        </w:rPr>
        <w:t xml:space="preserve"> </w:t>
      </w:r>
      <w:proofErr w:type="spellStart"/>
      <w:r w:rsidRPr="00B34381">
        <w:rPr>
          <w:szCs w:val="18"/>
          <w:lang w:val="sl-SI"/>
        </w:rPr>
        <w:t>policy</w:t>
      </w:r>
      <w:proofErr w:type="spellEnd"/>
      <w:r w:rsidRPr="00B34381">
        <w:rPr>
          <w:szCs w:val="18"/>
          <w:lang w:val="sl-SI"/>
        </w:rPr>
        <w:t xml:space="preserve"> </w:t>
      </w:r>
      <w:proofErr w:type="spellStart"/>
      <w:r w:rsidRPr="00B34381">
        <w:rPr>
          <w:szCs w:val="18"/>
          <w:lang w:val="sl-SI"/>
        </w:rPr>
        <w:t>uncertainty</w:t>
      </w:r>
      <w:proofErr w:type="spellEnd"/>
      <w:r w:rsidRPr="00B34381">
        <w:rPr>
          <w:szCs w:val="18"/>
          <w:lang w:val="sl-SI"/>
        </w:rPr>
        <w:t xml:space="preserve"> </w:t>
      </w:r>
      <w:proofErr w:type="spellStart"/>
      <w:r w:rsidRPr="00B34381">
        <w:rPr>
          <w:szCs w:val="18"/>
          <w:lang w:val="sl-SI"/>
        </w:rPr>
        <w:t>spillovers</w:t>
      </w:r>
      <w:proofErr w:type="spellEnd"/>
      <w:r w:rsidRPr="00B34381">
        <w:rPr>
          <w:szCs w:val="18"/>
          <w:lang w:val="sl-SI"/>
        </w:rPr>
        <w:t xml:space="preserve"> in </w:t>
      </w:r>
      <w:proofErr w:type="spellStart"/>
      <w:r w:rsidRPr="00B34381">
        <w:rPr>
          <w:szCs w:val="18"/>
          <w:lang w:val="sl-SI"/>
        </w:rPr>
        <w:t>booms</w:t>
      </w:r>
      <w:proofErr w:type="spellEnd"/>
      <w:r w:rsidRPr="00B34381">
        <w:rPr>
          <w:szCs w:val="18"/>
          <w:lang w:val="sl-SI"/>
        </w:rPr>
        <w:t xml:space="preserve"> </w:t>
      </w:r>
      <w:proofErr w:type="spellStart"/>
      <w:r w:rsidRPr="00B34381">
        <w:rPr>
          <w:szCs w:val="18"/>
          <w:lang w:val="sl-SI"/>
        </w:rPr>
        <w:t>and</w:t>
      </w:r>
      <w:proofErr w:type="spellEnd"/>
      <w:r w:rsidRPr="00B34381">
        <w:rPr>
          <w:szCs w:val="18"/>
          <w:lang w:val="sl-SI"/>
        </w:rPr>
        <w:t xml:space="preserve"> </w:t>
      </w:r>
      <w:proofErr w:type="spellStart"/>
      <w:r w:rsidRPr="00B34381">
        <w:rPr>
          <w:szCs w:val="18"/>
          <w:lang w:val="sl-SI"/>
        </w:rPr>
        <w:t>busts</w:t>
      </w:r>
      <w:proofErr w:type="spellEnd"/>
      <w:r w:rsidRPr="00B34381">
        <w:rPr>
          <w:szCs w:val="18"/>
          <w:lang w:val="sl-SI"/>
        </w:rPr>
        <w:t xml:space="preserve">. </w:t>
      </w:r>
      <w:r w:rsidRPr="00B34381">
        <w:rPr>
          <w:i/>
          <w:iCs/>
          <w:szCs w:val="18"/>
          <w:lang w:val="sl-SI"/>
        </w:rPr>
        <w:t xml:space="preserve">Oxford </w:t>
      </w:r>
      <w:proofErr w:type="spellStart"/>
      <w:r w:rsidRPr="00B34381">
        <w:rPr>
          <w:i/>
          <w:iCs/>
          <w:szCs w:val="18"/>
          <w:lang w:val="sl-SI"/>
        </w:rPr>
        <w:t>Bulletin</w:t>
      </w:r>
      <w:proofErr w:type="spellEnd"/>
      <w:r w:rsidRPr="00B34381">
        <w:rPr>
          <w:i/>
          <w:iCs/>
          <w:szCs w:val="18"/>
          <w:lang w:val="sl-SI"/>
        </w:rPr>
        <w:t xml:space="preserve"> </w:t>
      </w:r>
      <w:proofErr w:type="spellStart"/>
      <w:r w:rsidRPr="00B34381">
        <w:rPr>
          <w:i/>
          <w:iCs/>
          <w:szCs w:val="18"/>
          <w:lang w:val="sl-SI"/>
        </w:rPr>
        <w:t>of</w:t>
      </w:r>
      <w:proofErr w:type="spellEnd"/>
      <w:r w:rsidRPr="00B34381">
        <w:rPr>
          <w:i/>
          <w:iCs/>
          <w:szCs w:val="18"/>
          <w:lang w:val="sl-SI"/>
        </w:rPr>
        <w:t xml:space="preserve"> </w:t>
      </w:r>
      <w:proofErr w:type="spellStart"/>
      <w:r w:rsidRPr="00B34381">
        <w:rPr>
          <w:i/>
          <w:iCs/>
          <w:szCs w:val="18"/>
          <w:lang w:val="sl-SI"/>
        </w:rPr>
        <w:t>Economics</w:t>
      </w:r>
      <w:proofErr w:type="spellEnd"/>
      <w:r w:rsidRPr="00B34381">
        <w:rPr>
          <w:i/>
          <w:iCs/>
          <w:szCs w:val="18"/>
          <w:lang w:val="sl-SI"/>
        </w:rPr>
        <w:t xml:space="preserve"> </w:t>
      </w:r>
      <w:proofErr w:type="spellStart"/>
      <w:r w:rsidRPr="00B34381">
        <w:rPr>
          <w:i/>
          <w:iCs/>
          <w:szCs w:val="18"/>
          <w:lang w:val="sl-SI"/>
        </w:rPr>
        <w:t>and</w:t>
      </w:r>
      <w:proofErr w:type="spellEnd"/>
      <w:r w:rsidRPr="00B34381">
        <w:rPr>
          <w:i/>
          <w:iCs/>
          <w:szCs w:val="18"/>
          <w:lang w:val="sl-SI"/>
        </w:rPr>
        <w:t xml:space="preserve"> </w:t>
      </w:r>
      <w:proofErr w:type="spellStart"/>
      <w:r w:rsidRPr="00B34381">
        <w:rPr>
          <w:i/>
          <w:iCs/>
          <w:szCs w:val="18"/>
          <w:lang w:val="sl-SI"/>
        </w:rPr>
        <w:t>Statistics</w:t>
      </w:r>
      <w:proofErr w:type="spellEnd"/>
      <w:r w:rsidRPr="00B34381">
        <w:rPr>
          <w:i/>
          <w:iCs/>
          <w:szCs w:val="18"/>
          <w:lang w:val="sl-SI"/>
        </w:rPr>
        <w:t xml:space="preserve">. </w:t>
      </w:r>
      <w:r w:rsidRPr="00B34381">
        <w:rPr>
          <w:szCs w:val="18"/>
          <w:lang w:val="sl-SI"/>
        </w:rPr>
        <w:t>DOI=</w:t>
      </w:r>
      <w:r w:rsidRPr="00B34381">
        <w:t xml:space="preserve"> </w:t>
      </w:r>
      <w:hyperlink r:id="rId37" w:history="1">
        <w:r w:rsidRPr="00B34381">
          <w:rPr>
            <w:rStyle w:val="Hyperlink"/>
            <w:szCs w:val="18"/>
            <w:lang w:val="sl-SI"/>
          </w:rPr>
          <w:t>https://doi.org/10.1111/obes.12323</w:t>
        </w:r>
      </w:hyperlink>
      <w:r w:rsidRPr="00B34381">
        <w:rPr>
          <w:szCs w:val="18"/>
          <w:lang w:val="sl-SI"/>
        </w:rPr>
        <w:t>.</w:t>
      </w:r>
    </w:p>
    <w:p w14:paraId="2EEACB51" w14:textId="77777777" w:rsidR="00AB30B4" w:rsidRPr="00B34381" w:rsidRDefault="00AB30B4" w:rsidP="00AB30B4">
      <w:pPr>
        <w:pStyle w:val="References"/>
        <w:rPr>
          <w:szCs w:val="18"/>
          <w:lang w:val="sl-SI"/>
        </w:rPr>
      </w:pPr>
      <w:proofErr w:type="spellStart"/>
      <w:r w:rsidRPr="00B34381">
        <w:rPr>
          <w:lang w:val="sl-SI"/>
        </w:rPr>
        <w:t>Fraser</w:t>
      </w:r>
      <w:proofErr w:type="spellEnd"/>
      <w:r w:rsidRPr="00B34381">
        <w:rPr>
          <w:lang w:val="sl-SI"/>
        </w:rPr>
        <w:t xml:space="preserve">, T., in </w:t>
      </w:r>
      <w:proofErr w:type="spellStart"/>
      <w:r w:rsidRPr="00B34381">
        <w:rPr>
          <w:lang w:val="sl-SI"/>
        </w:rPr>
        <w:t>Üngör</w:t>
      </w:r>
      <w:proofErr w:type="spellEnd"/>
      <w:r w:rsidRPr="00B34381">
        <w:rPr>
          <w:lang w:val="sl-SI"/>
        </w:rPr>
        <w:t xml:space="preserve">, M. 2019. </w:t>
      </w:r>
      <w:proofErr w:type="spellStart"/>
      <w:r w:rsidRPr="00B34381">
        <w:rPr>
          <w:lang w:val="sl-SI"/>
        </w:rPr>
        <w:t>Migration</w:t>
      </w:r>
      <w:proofErr w:type="spellEnd"/>
      <w:r w:rsidRPr="00B34381">
        <w:rPr>
          <w:lang w:val="sl-SI"/>
        </w:rPr>
        <w:t xml:space="preserve"> </w:t>
      </w:r>
      <w:proofErr w:type="spellStart"/>
      <w:r w:rsidRPr="00B34381">
        <w:rPr>
          <w:lang w:val="sl-SI"/>
        </w:rPr>
        <w:t>fears</w:t>
      </w:r>
      <w:proofErr w:type="spellEnd"/>
      <w:r w:rsidRPr="00B34381">
        <w:rPr>
          <w:lang w:val="sl-SI"/>
        </w:rPr>
        <w:t xml:space="preserve">, </w:t>
      </w:r>
      <w:proofErr w:type="spellStart"/>
      <w:r w:rsidRPr="00B34381">
        <w:rPr>
          <w:lang w:val="sl-SI"/>
        </w:rPr>
        <w:t>policy</w:t>
      </w:r>
      <w:proofErr w:type="spellEnd"/>
      <w:r w:rsidRPr="00B34381">
        <w:rPr>
          <w:lang w:val="sl-SI"/>
        </w:rPr>
        <w:t xml:space="preserve"> </w:t>
      </w:r>
      <w:proofErr w:type="spellStart"/>
      <w:r w:rsidRPr="00B34381">
        <w:rPr>
          <w:lang w:val="sl-SI"/>
        </w:rPr>
        <w:t>uncertainty</w:t>
      </w:r>
      <w:proofErr w:type="spellEnd"/>
      <w:r w:rsidRPr="00B34381">
        <w:rPr>
          <w:lang w:val="sl-SI"/>
        </w:rPr>
        <w:t xml:space="preserve"> </w:t>
      </w:r>
      <w:proofErr w:type="spellStart"/>
      <w:r w:rsidRPr="00B34381">
        <w:rPr>
          <w:lang w:val="sl-SI"/>
        </w:rPr>
        <w:t>and</w:t>
      </w:r>
      <w:proofErr w:type="spellEnd"/>
      <w:r w:rsidRPr="00B34381">
        <w:rPr>
          <w:lang w:val="sl-SI"/>
        </w:rPr>
        <w:t xml:space="preserve"> </w:t>
      </w:r>
      <w:proofErr w:type="spellStart"/>
      <w:r w:rsidRPr="00B34381">
        <w:rPr>
          <w:lang w:val="sl-SI"/>
        </w:rPr>
        <w:t>economic</w:t>
      </w:r>
      <w:proofErr w:type="spellEnd"/>
      <w:r w:rsidRPr="00B34381">
        <w:rPr>
          <w:lang w:val="sl-SI"/>
        </w:rPr>
        <w:t xml:space="preserve"> </w:t>
      </w:r>
      <w:proofErr w:type="spellStart"/>
      <w:r w:rsidRPr="00B34381">
        <w:rPr>
          <w:lang w:val="sl-SI"/>
        </w:rPr>
        <w:t>activity</w:t>
      </w:r>
      <w:proofErr w:type="spellEnd"/>
      <w:r w:rsidRPr="00B34381">
        <w:rPr>
          <w:lang w:val="sl-SI"/>
        </w:rPr>
        <w:t xml:space="preserve">. </w:t>
      </w:r>
      <w:proofErr w:type="spellStart"/>
      <w:r w:rsidRPr="00B34381">
        <w:rPr>
          <w:i/>
          <w:iCs/>
          <w:szCs w:val="18"/>
          <w:lang w:val="sl-SI"/>
        </w:rPr>
        <w:t>University</w:t>
      </w:r>
      <w:proofErr w:type="spellEnd"/>
      <w:r w:rsidRPr="00B34381">
        <w:rPr>
          <w:i/>
          <w:iCs/>
          <w:szCs w:val="18"/>
          <w:lang w:val="sl-SI"/>
        </w:rPr>
        <w:t xml:space="preserve"> </w:t>
      </w:r>
      <w:proofErr w:type="spellStart"/>
      <w:r w:rsidRPr="00B34381">
        <w:rPr>
          <w:i/>
          <w:iCs/>
          <w:szCs w:val="18"/>
          <w:lang w:val="sl-SI"/>
        </w:rPr>
        <w:t>of</w:t>
      </w:r>
      <w:proofErr w:type="spellEnd"/>
      <w:r w:rsidRPr="00B34381">
        <w:rPr>
          <w:i/>
          <w:iCs/>
          <w:szCs w:val="18"/>
          <w:lang w:val="sl-SI"/>
        </w:rPr>
        <w:t xml:space="preserve"> </w:t>
      </w:r>
      <w:proofErr w:type="spellStart"/>
      <w:r w:rsidRPr="00B34381">
        <w:rPr>
          <w:i/>
          <w:iCs/>
          <w:szCs w:val="18"/>
          <w:lang w:val="sl-SI"/>
        </w:rPr>
        <w:t>Otago</w:t>
      </w:r>
      <w:proofErr w:type="spellEnd"/>
      <w:r w:rsidRPr="00B34381">
        <w:rPr>
          <w:i/>
          <w:iCs/>
          <w:szCs w:val="18"/>
          <w:lang w:val="sl-SI"/>
        </w:rPr>
        <w:t xml:space="preserve"> </w:t>
      </w:r>
      <w:proofErr w:type="spellStart"/>
      <w:r w:rsidRPr="00B34381">
        <w:rPr>
          <w:i/>
          <w:iCs/>
          <w:szCs w:val="18"/>
          <w:lang w:val="sl-SI"/>
        </w:rPr>
        <w:t>Economics</w:t>
      </w:r>
      <w:proofErr w:type="spellEnd"/>
      <w:r w:rsidRPr="00B34381">
        <w:rPr>
          <w:i/>
          <w:iCs/>
          <w:szCs w:val="18"/>
          <w:lang w:val="sl-SI"/>
        </w:rPr>
        <w:t xml:space="preserve"> </w:t>
      </w:r>
      <w:proofErr w:type="spellStart"/>
      <w:r w:rsidRPr="00B34381">
        <w:rPr>
          <w:i/>
          <w:iCs/>
          <w:szCs w:val="18"/>
          <w:lang w:val="sl-SI"/>
        </w:rPr>
        <w:t>Discussion</w:t>
      </w:r>
      <w:proofErr w:type="spellEnd"/>
      <w:r w:rsidRPr="00B34381">
        <w:rPr>
          <w:i/>
          <w:iCs/>
          <w:szCs w:val="18"/>
          <w:lang w:val="sl-SI"/>
        </w:rPr>
        <w:t xml:space="preserve"> </w:t>
      </w:r>
      <w:proofErr w:type="spellStart"/>
      <w:r w:rsidRPr="00B34381">
        <w:rPr>
          <w:i/>
          <w:iCs/>
          <w:szCs w:val="18"/>
          <w:lang w:val="sl-SI"/>
        </w:rPr>
        <w:t>Papers</w:t>
      </w:r>
      <w:proofErr w:type="spellEnd"/>
      <w:r w:rsidRPr="00B34381">
        <w:rPr>
          <w:i/>
          <w:iCs/>
          <w:szCs w:val="18"/>
          <w:lang w:val="sl-SI"/>
        </w:rPr>
        <w:t xml:space="preserve"> No. 1907.</w:t>
      </w:r>
      <w:r w:rsidRPr="00B34381">
        <w:rPr>
          <w:szCs w:val="18"/>
          <w:lang w:val="sl-SI"/>
        </w:rPr>
        <w:t xml:space="preserve"> </w:t>
      </w:r>
      <w:hyperlink r:id="rId38" w:history="1">
        <w:r w:rsidRPr="00B34381">
          <w:rPr>
            <w:rStyle w:val="Hyperlink"/>
          </w:rPr>
          <w:t>https://www.otago.ac.nz/economics/otago709661.pdf</w:t>
        </w:r>
      </w:hyperlink>
      <w:r w:rsidRPr="00B34381">
        <w:t xml:space="preserve">, </w:t>
      </w:r>
      <w:proofErr w:type="spellStart"/>
      <w:r w:rsidRPr="00B34381">
        <w:t>dostop</w:t>
      </w:r>
      <w:proofErr w:type="spellEnd"/>
      <w:r w:rsidRPr="00B34381">
        <w:t xml:space="preserve"> 20. 8. 2019.</w:t>
      </w:r>
    </w:p>
    <w:p w14:paraId="42330E21" w14:textId="77777777" w:rsidR="00E7233B" w:rsidRPr="00B34381" w:rsidRDefault="003163E8" w:rsidP="00E7233B">
      <w:pPr>
        <w:pStyle w:val="References"/>
      </w:pPr>
      <w:proofErr w:type="spellStart"/>
      <w:r w:rsidRPr="00B34381">
        <w:rPr>
          <w:lang w:val="sl-SI"/>
        </w:rPr>
        <w:t>Donadelli</w:t>
      </w:r>
      <w:proofErr w:type="spellEnd"/>
      <w:r w:rsidRPr="00B34381">
        <w:rPr>
          <w:lang w:val="sl-SI"/>
        </w:rPr>
        <w:t xml:space="preserve">, M., </w:t>
      </w:r>
      <w:proofErr w:type="spellStart"/>
      <w:r w:rsidRPr="00B34381">
        <w:rPr>
          <w:lang w:val="sl-SI"/>
        </w:rPr>
        <w:t>Gerotto</w:t>
      </w:r>
      <w:proofErr w:type="spellEnd"/>
      <w:r w:rsidRPr="00B34381">
        <w:rPr>
          <w:lang w:val="sl-SI"/>
        </w:rPr>
        <w:t xml:space="preserve">, L., </w:t>
      </w:r>
      <w:proofErr w:type="spellStart"/>
      <w:r w:rsidRPr="00B34381">
        <w:rPr>
          <w:lang w:val="sl-SI"/>
        </w:rPr>
        <w:t>Luccheta</w:t>
      </w:r>
      <w:proofErr w:type="spellEnd"/>
      <w:r w:rsidRPr="00B34381">
        <w:rPr>
          <w:lang w:val="sl-SI"/>
        </w:rPr>
        <w:t xml:space="preserve">, M. in </w:t>
      </w:r>
      <w:proofErr w:type="spellStart"/>
      <w:r w:rsidRPr="00B34381">
        <w:rPr>
          <w:lang w:val="sl-SI"/>
        </w:rPr>
        <w:t>Arzu</w:t>
      </w:r>
      <w:proofErr w:type="spellEnd"/>
      <w:r w:rsidRPr="00B34381">
        <w:rPr>
          <w:lang w:val="sl-SI"/>
        </w:rPr>
        <w:t xml:space="preserve">, D. 2019. </w:t>
      </w:r>
      <w:proofErr w:type="spellStart"/>
      <w:r w:rsidRPr="00B34381">
        <w:rPr>
          <w:lang w:val="sl-SI"/>
        </w:rPr>
        <w:t>Immigration</w:t>
      </w:r>
      <w:proofErr w:type="spellEnd"/>
      <w:r w:rsidRPr="00B34381">
        <w:rPr>
          <w:lang w:val="sl-SI"/>
        </w:rPr>
        <w:t xml:space="preserve">, </w:t>
      </w:r>
      <w:proofErr w:type="spellStart"/>
      <w:r w:rsidRPr="00B34381">
        <w:rPr>
          <w:lang w:val="sl-SI"/>
        </w:rPr>
        <w:t>uncertainty</w:t>
      </w:r>
      <w:proofErr w:type="spellEnd"/>
      <w:r w:rsidRPr="00B34381">
        <w:rPr>
          <w:lang w:val="sl-SI"/>
        </w:rPr>
        <w:t xml:space="preserve">, </w:t>
      </w:r>
      <w:proofErr w:type="spellStart"/>
      <w:r w:rsidRPr="00B34381">
        <w:rPr>
          <w:lang w:val="sl-SI"/>
        </w:rPr>
        <w:t>and</w:t>
      </w:r>
      <w:proofErr w:type="spellEnd"/>
      <w:r w:rsidRPr="00B34381">
        <w:rPr>
          <w:lang w:val="sl-SI"/>
        </w:rPr>
        <w:t xml:space="preserve"> </w:t>
      </w:r>
      <w:proofErr w:type="spellStart"/>
      <w:r w:rsidRPr="00B34381">
        <w:rPr>
          <w:lang w:val="sl-SI"/>
        </w:rPr>
        <w:t>macroeconomic</w:t>
      </w:r>
      <w:proofErr w:type="spellEnd"/>
      <w:r w:rsidRPr="00B34381">
        <w:rPr>
          <w:lang w:val="sl-SI"/>
        </w:rPr>
        <w:t xml:space="preserve"> </w:t>
      </w:r>
      <w:proofErr w:type="spellStart"/>
      <w:r w:rsidRPr="00B34381">
        <w:rPr>
          <w:lang w:val="sl-SI"/>
        </w:rPr>
        <w:t>dynamics</w:t>
      </w:r>
      <w:proofErr w:type="spellEnd"/>
      <w:r w:rsidRPr="00B34381">
        <w:rPr>
          <w:lang w:val="sl-SI"/>
        </w:rPr>
        <w:t xml:space="preserve">. </w:t>
      </w:r>
      <w:proofErr w:type="spellStart"/>
      <w:r w:rsidRPr="00B34381">
        <w:rPr>
          <w:i/>
          <w:iCs/>
          <w:lang w:val="sl-SI"/>
        </w:rPr>
        <w:t>The</w:t>
      </w:r>
      <w:proofErr w:type="spellEnd"/>
      <w:r w:rsidRPr="00B34381">
        <w:rPr>
          <w:i/>
          <w:iCs/>
          <w:lang w:val="sl-SI"/>
        </w:rPr>
        <w:t xml:space="preserve"> </w:t>
      </w:r>
      <w:proofErr w:type="spellStart"/>
      <w:r w:rsidRPr="00B34381">
        <w:rPr>
          <w:i/>
          <w:iCs/>
          <w:lang w:val="sl-SI"/>
        </w:rPr>
        <w:t>World</w:t>
      </w:r>
      <w:proofErr w:type="spellEnd"/>
      <w:r w:rsidRPr="00B34381">
        <w:rPr>
          <w:i/>
          <w:iCs/>
          <w:lang w:val="sl-SI"/>
        </w:rPr>
        <w:t xml:space="preserve"> </w:t>
      </w:r>
      <w:proofErr w:type="spellStart"/>
      <w:r w:rsidRPr="00B34381">
        <w:rPr>
          <w:i/>
          <w:iCs/>
          <w:lang w:val="sl-SI"/>
        </w:rPr>
        <w:t>Economy</w:t>
      </w:r>
      <w:proofErr w:type="spellEnd"/>
      <w:r w:rsidRPr="00B34381">
        <w:rPr>
          <w:i/>
          <w:iCs/>
          <w:lang w:val="sl-SI"/>
        </w:rPr>
        <w:t xml:space="preserve">. </w:t>
      </w:r>
      <w:r w:rsidRPr="00B34381">
        <w:rPr>
          <w:lang w:val="sl-SI"/>
        </w:rPr>
        <w:t>DOI=</w:t>
      </w:r>
      <w:r w:rsidRPr="00B34381">
        <w:t xml:space="preserve"> </w:t>
      </w:r>
      <w:hyperlink r:id="rId39" w:history="1">
        <w:r w:rsidRPr="00B34381">
          <w:rPr>
            <w:rStyle w:val="Hyperlink"/>
            <w:lang w:val="sl-SI"/>
          </w:rPr>
          <w:t>https://doi.org/10.1111/twec.12865</w:t>
        </w:r>
      </w:hyperlink>
      <w:r w:rsidRPr="00B34381">
        <w:rPr>
          <w:lang w:val="sl-SI"/>
        </w:rPr>
        <w:t>.</w:t>
      </w:r>
    </w:p>
    <w:p w14:paraId="2FEBAD0B" w14:textId="6151FF69" w:rsidR="00377DCB" w:rsidRPr="00330D49" w:rsidRDefault="00412D19" w:rsidP="00330D49">
      <w:pPr>
        <w:pStyle w:val="References"/>
        <w:rPr>
          <w:szCs w:val="18"/>
          <w:lang w:val="sl-SI"/>
        </w:rPr>
        <w:sectPr w:rsidR="00377DCB" w:rsidRPr="00330D49" w:rsidSect="00783250">
          <w:type w:val="continuous"/>
          <w:pgSz w:w="12240" w:h="15840" w:code="1"/>
          <w:pgMar w:top="1080" w:right="1080" w:bottom="1276" w:left="1080" w:header="720" w:footer="720" w:gutter="0"/>
          <w:cols w:num="2" w:space="475"/>
        </w:sectPr>
      </w:pPr>
      <w:r w:rsidRPr="00B34381">
        <w:t xml:space="preserve">Baker, S. R., Bloom, N., in Davis, S. J. 2016. Measuring economic policy uncertainty. </w:t>
      </w:r>
      <w:r w:rsidRPr="00377DCB">
        <w:rPr>
          <w:i/>
          <w:iCs/>
        </w:rPr>
        <w:t>The Quarterly Journal of Economics</w:t>
      </w:r>
      <w:r w:rsidRPr="00B34381">
        <w:t xml:space="preserve"> 131, 4, 1593–1636. DOI= </w:t>
      </w:r>
      <w:hyperlink r:id="rId40" w:history="1">
        <w:r w:rsidRPr="00B34381">
          <w:rPr>
            <w:rStyle w:val="Hyperlink"/>
          </w:rPr>
          <w:t>https://doi.org/10.1093/qje/qjw024</w:t>
        </w:r>
      </w:hyperlink>
      <w:r w:rsidR="00987938">
        <w:rPr>
          <w:rStyle w:val="Hyperlink"/>
        </w:rPr>
        <w:t>.</w:t>
      </w:r>
    </w:p>
    <w:p w14:paraId="7F5A41AE" w14:textId="77777777" w:rsidR="008B197E" w:rsidRPr="00B34381" w:rsidRDefault="008B197E" w:rsidP="001E7692">
      <w:pPr>
        <w:pStyle w:val="Paper-Title"/>
        <w:jc w:val="both"/>
        <w:rPr>
          <w:rFonts w:ascii="Times New Roman" w:hAnsi="Times New Roman"/>
          <w:sz w:val="18"/>
          <w:szCs w:val="18"/>
          <w:lang w:val="sl-SI"/>
        </w:rPr>
      </w:pPr>
    </w:p>
    <w:sectPr w:rsidR="008B197E" w:rsidRPr="00B34381"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145D" w14:textId="77777777" w:rsidR="00076054" w:rsidRDefault="00076054">
      <w:r>
        <w:separator/>
      </w:r>
    </w:p>
  </w:endnote>
  <w:endnote w:type="continuationSeparator" w:id="0">
    <w:p w14:paraId="3093D58E" w14:textId="77777777" w:rsidR="00076054" w:rsidRDefault="0007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altName w:val="Malgun Gothic Semilight"/>
    <w:charset w:val="B1"/>
    <w:family w:val="swiss"/>
    <w:pitch w:val="variable"/>
    <w:sig w:usb0="00000803" w:usb1="00000000" w:usb2="00000000" w:usb3="00000000" w:csb0="0000002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D8D2" w14:textId="77777777" w:rsidR="00A105B5" w:rsidRDefault="00A10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EDC6A" w14:textId="77777777" w:rsidR="00A105B5" w:rsidRDefault="00A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04035" w14:textId="77777777" w:rsidR="00076054" w:rsidRDefault="00076054">
      <w:r>
        <w:separator/>
      </w:r>
    </w:p>
  </w:footnote>
  <w:footnote w:type="continuationSeparator" w:id="0">
    <w:p w14:paraId="7313A89D" w14:textId="77777777" w:rsidR="00076054" w:rsidRDefault="0007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00022"/>
    <w:rsid w:val="00016D54"/>
    <w:rsid w:val="00022F58"/>
    <w:rsid w:val="000277C3"/>
    <w:rsid w:val="000305E6"/>
    <w:rsid w:val="0003399C"/>
    <w:rsid w:val="000355F6"/>
    <w:rsid w:val="00043376"/>
    <w:rsid w:val="00056501"/>
    <w:rsid w:val="00062AA8"/>
    <w:rsid w:val="00072AAD"/>
    <w:rsid w:val="00072B93"/>
    <w:rsid w:val="00076054"/>
    <w:rsid w:val="00080FA1"/>
    <w:rsid w:val="000841C8"/>
    <w:rsid w:val="00093B81"/>
    <w:rsid w:val="0009634A"/>
    <w:rsid w:val="000B15AF"/>
    <w:rsid w:val="000D4F22"/>
    <w:rsid w:val="000E7660"/>
    <w:rsid w:val="000F4550"/>
    <w:rsid w:val="001006FD"/>
    <w:rsid w:val="00117E19"/>
    <w:rsid w:val="001218FD"/>
    <w:rsid w:val="00126C4F"/>
    <w:rsid w:val="0013437B"/>
    <w:rsid w:val="001375C1"/>
    <w:rsid w:val="001378B9"/>
    <w:rsid w:val="0014132B"/>
    <w:rsid w:val="001445C3"/>
    <w:rsid w:val="0014564D"/>
    <w:rsid w:val="001553BA"/>
    <w:rsid w:val="001578EE"/>
    <w:rsid w:val="00163FB2"/>
    <w:rsid w:val="00166755"/>
    <w:rsid w:val="00171BB0"/>
    <w:rsid w:val="00172159"/>
    <w:rsid w:val="001816E0"/>
    <w:rsid w:val="0018233F"/>
    <w:rsid w:val="0019051A"/>
    <w:rsid w:val="00190CFB"/>
    <w:rsid w:val="00190FF5"/>
    <w:rsid w:val="00191712"/>
    <w:rsid w:val="001A14D3"/>
    <w:rsid w:val="001A338E"/>
    <w:rsid w:val="001A5D4D"/>
    <w:rsid w:val="001C4A7B"/>
    <w:rsid w:val="001C51F1"/>
    <w:rsid w:val="001C531A"/>
    <w:rsid w:val="001D4582"/>
    <w:rsid w:val="001E4A9D"/>
    <w:rsid w:val="001E7692"/>
    <w:rsid w:val="001F27D3"/>
    <w:rsid w:val="001F54CE"/>
    <w:rsid w:val="00202D22"/>
    <w:rsid w:val="00206121"/>
    <w:rsid w:val="002078D7"/>
    <w:rsid w:val="002228F5"/>
    <w:rsid w:val="00230CBB"/>
    <w:rsid w:val="00237A4D"/>
    <w:rsid w:val="00242A4E"/>
    <w:rsid w:val="00246934"/>
    <w:rsid w:val="00250FCA"/>
    <w:rsid w:val="00257761"/>
    <w:rsid w:val="002657E8"/>
    <w:rsid w:val="00274827"/>
    <w:rsid w:val="00275053"/>
    <w:rsid w:val="00276B9B"/>
    <w:rsid w:val="00293283"/>
    <w:rsid w:val="002A5141"/>
    <w:rsid w:val="002B07EB"/>
    <w:rsid w:val="002B12E7"/>
    <w:rsid w:val="002B1494"/>
    <w:rsid w:val="002B553A"/>
    <w:rsid w:val="002D1383"/>
    <w:rsid w:val="002D25BC"/>
    <w:rsid w:val="002D6A57"/>
    <w:rsid w:val="002F0610"/>
    <w:rsid w:val="002F39D3"/>
    <w:rsid w:val="002F4B23"/>
    <w:rsid w:val="003132A2"/>
    <w:rsid w:val="003163E8"/>
    <w:rsid w:val="00317CCD"/>
    <w:rsid w:val="00330607"/>
    <w:rsid w:val="00330D49"/>
    <w:rsid w:val="00335099"/>
    <w:rsid w:val="00342F03"/>
    <w:rsid w:val="00347D68"/>
    <w:rsid w:val="003516A1"/>
    <w:rsid w:val="00357120"/>
    <w:rsid w:val="003617A4"/>
    <w:rsid w:val="00372296"/>
    <w:rsid w:val="0037292D"/>
    <w:rsid w:val="00375299"/>
    <w:rsid w:val="00377DCB"/>
    <w:rsid w:val="00383B95"/>
    <w:rsid w:val="0038773C"/>
    <w:rsid w:val="003A2B60"/>
    <w:rsid w:val="003A3DD0"/>
    <w:rsid w:val="003B075F"/>
    <w:rsid w:val="003B3342"/>
    <w:rsid w:val="003B4153"/>
    <w:rsid w:val="003C35B7"/>
    <w:rsid w:val="003C5D98"/>
    <w:rsid w:val="003D1BF7"/>
    <w:rsid w:val="003E1B01"/>
    <w:rsid w:val="003E3258"/>
    <w:rsid w:val="003E4864"/>
    <w:rsid w:val="00401DED"/>
    <w:rsid w:val="004129BE"/>
    <w:rsid w:val="00412D19"/>
    <w:rsid w:val="004174A9"/>
    <w:rsid w:val="004202F8"/>
    <w:rsid w:val="0042060A"/>
    <w:rsid w:val="00420C54"/>
    <w:rsid w:val="0043125B"/>
    <w:rsid w:val="004339D3"/>
    <w:rsid w:val="00435863"/>
    <w:rsid w:val="00440313"/>
    <w:rsid w:val="00452A59"/>
    <w:rsid w:val="00454F67"/>
    <w:rsid w:val="00460051"/>
    <w:rsid w:val="00464CC1"/>
    <w:rsid w:val="00471F4A"/>
    <w:rsid w:val="0047296C"/>
    <w:rsid w:val="00474255"/>
    <w:rsid w:val="00474CE9"/>
    <w:rsid w:val="00477D86"/>
    <w:rsid w:val="00496589"/>
    <w:rsid w:val="00497484"/>
    <w:rsid w:val="00497D3A"/>
    <w:rsid w:val="004A7650"/>
    <w:rsid w:val="004A7DDB"/>
    <w:rsid w:val="004C421A"/>
    <w:rsid w:val="004D59C8"/>
    <w:rsid w:val="004D6C29"/>
    <w:rsid w:val="004E5E7A"/>
    <w:rsid w:val="004E6726"/>
    <w:rsid w:val="004F0DE3"/>
    <w:rsid w:val="004F446F"/>
    <w:rsid w:val="00504444"/>
    <w:rsid w:val="00523F9B"/>
    <w:rsid w:val="00526167"/>
    <w:rsid w:val="0053299D"/>
    <w:rsid w:val="00541B99"/>
    <w:rsid w:val="005537D5"/>
    <w:rsid w:val="00563B49"/>
    <w:rsid w:val="00571CED"/>
    <w:rsid w:val="005842F9"/>
    <w:rsid w:val="005911A4"/>
    <w:rsid w:val="005928A9"/>
    <w:rsid w:val="005A64E2"/>
    <w:rsid w:val="005A66C8"/>
    <w:rsid w:val="005A7186"/>
    <w:rsid w:val="005B6A93"/>
    <w:rsid w:val="005B717A"/>
    <w:rsid w:val="005D241B"/>
    <w:rsid w:val="005D686F"/>
    <w:rsid w:val="005F1477"/>
    <w:rsid w:val="005F2ADB"/>
    <w:rsid w:val="0060168F"/>
    <w:rsid w:val="00602320"/>
    <w:rsid w:val="00603A4D"/>
    <w:rsid w:val="0061710B"/>
    <w:rsid w:val="006227EE"/>
    <w:rsid w:val="0062758A"/>
    <w:rsid w:val="006371C5"/>
    <w:rsid w:val="0064059A"/>
    <w:rsid w:val="0064666B"/>
    <w:rsid w:val="00657A15"/>
    <w:rsid w:val="0066388B"/>
    <w:rsid w:val="0068547D"/>
    <w:rsid w:val="0069356A"/>
    <w:rsid w:val="006A044B"/>
    <w:rsid w:val="006A1FA3"/>
    <w:rsid w:val="006D2486"/>
    <w:rsid w:val="006D330E"/>
    <w:rsid w:val="006D451E"/>
    <w:rsid w:val="006E066C"/>
    <w:rsid w:val="006E1438"/>
    <w:rsid w:val="006F7BE7"/>
    <w:rsid w:val="00704604"/>
    <w:rsid w:val="00720295"/>
    <w:rsid w:val="00722004"/>
    <w:rsid w:val="0072439A"/>
    <w:rsid w:val="007305CC"/>
    <w:rsid w:val="007355FF"/>
    <w:rsid w:val="00745394"/>
    <w:rsid w:val="00750112"/>
    <w:rsid w:val="00754895"/>
    <w:rsid w:val="00755A5D"/>
    <w:rsid w:val="00763DE0"/>
    <w:rsid w:val="007642E9"/>
    <w:rsid w:val="007660F2"/>
    <w:rsid w:val="0077026D"/>
    <w:rsid w:val="007726E4"/>
    <w:rsid w:val="00783250"/>
    <w:rsid w:val="00785203"/>
    <w:rsid w:val="00793DF2"/>
    <w:rsid w:val="007A3448"/>
    <w:rsid w:val="007B2132"/>
    <w:rsid w:val="007B2FDE"/>
    <w:rsid w:val="007B5674"/>
    <w:rsid w:val="007C08CF"/>
    <w:rsid w:val="007C3600"/>
    <w:rsid w:val="007C47F1"/>
    <w:rsid w:val="007C5BAC"/>
    <w:rsid w:val="007C6F1A"/>
    <w:rsid w:val="007C74C7"/>
    <w:rsid w:val="007D2032"/>
    <w:rsid w:val="007F4C36"/>
    <w:rsid w:val="007F7C34"/>
    <w:rsid w:val="00804AE0"/>
    <w:rsid w:val="0080594B"/>
    <w:rsid w:val="00807301"/>
    <w:rsid w:val="008105C9"/>
    <w:rsid w:val="00815161"/>
    <w:rsid w:val="00820C15"/>
    <w:rsid w:val="0082257E"/>
    <w:rsid w:val="008227DB"/>
    <w:rsid w:val="00823D37"/>
    <w:rsid w:val="00830D44"/>
    <w:rsid w:val="00830FE9"/>
    <w:rsid w:val="00843DD4"/>
    <w:rsid w:val="00845CF0"/>
    <w:rsid w:val="008536AF"/>
    <w:rsid w:val="00863D54"/>
    <w:rsid w:val="0086424D"/>
    <w:rsid w:val="0086506B"/>
    <w:rsid w:val="0087467E"/>
    <w:rsid w:val="00880DDC"/>
    <w:rsid w:val="00891FAD"/>
    <w:rsid w:val="008A4973"/>
    <w:rsid w:val="008B197E"/>
    <w:rsid w:val="008C2F0D"/>
    <w:rsid w:val="008D2788"/>
    <w:rsid w:val="008E3551"/>
    <w:rsid w:val="008E67AF"/>
    <w:rsid w:val="00917AC8"/>
    <w:rsid w:val="009228BD"/>
    <w:rsid w:val="00931B0B"/>
    <w:rsid w:val="00932469"/>
    <w:rsid w:val="00934D35"/>
    <w:rsid w:val="00935479"/>
    <w:rsid w:val="00945D7F"/>
    <w:rsid w:val="00960B9B"/>
    <w:rsid w:val="00966749"/>
    <w:rsid w:val="0097736A"/>
    <w:rsid w:val="009829B5"/>
    <w:rsid w:val="00986563"/>
    <w:rsid w:val="00987938"/>
    <w:rsid w:val="009B701B"/>
    <w:rsid w:val="009C7C1B"/>
    <w:rsid w:val="009D5078"/>
    <w:rsid w:val="009E3FFB"/>
    <w:rsid w:val="009E5DD3"/>
    <w:rsid w:val="009F334B"/>
    <w:rsid w:val="00A05789"/>
    <w:rsid w:val="00A105B5"/>
    <w:rsid w:val="00A11CC1"/>
    <w:rsid w:val="00A40308"/>
    <w:rsid w:val="00A65559"/>
    <w:rsid w:val="00A66E61"/>
    <w:rsid w:val="00A75A8B"/>
    <w:rsid w:val="00A923C0"/>
    <w:rsid w:val="00AB30B4"/>
    <w:rsid w:val="00AB6510"/>
    <w:rsid w:val="00AD45B7"/>
    <w:rsid w:val="00AD5FF4"/>
    <w:rsid w:val="00AE2664"/>
    <w:rsid w:val="00AF5A76"/>
    <w:rsid w:val="00B04B35"/>
    <w:rsid w:val="00B144AF"/>
    <w:rsid w:val="00B17729"/>
    <w:rsid w:val="00B214B9"/>
    <w:rsid w:val="00B21FA1"/>
    <w:rsid w:val="00B22F25"/>
    <w:rsid w:val="00B34381"/>
    <w:rsid w:val="00B5166B"/>
    <w:rsid w:val="00B5360F"/>
    <w:rsid w:val="00B57A60"/>
    <w:rsid w:val="00B64D13"/>
    <w:rsid w:val="00B64D74"/>
    <w:rsid w:val="00B70CA9"/>
    <w:rsid w:val="00B7304E"/>
    <w:rsid w:val="00B76C44"/>
    <w:rsid w:val="00B84AA2"/>
    <w:rsid w:val="00B91053"/>
    <w:rsid w:val="00B96FB8"/>
    <w:rsid w:val="00BA1055"/>
    <w:rsid w:val="00BA15F3"/>
    <w:rsid w:val="00BB5366"/>
    <w:rsid w:val="00BC2360"/>
    <w:rsid w:val="00BC4DF6"/>
    <w:rsid w:val="00BD14DB"/>
    <w:rsid w:val="00BE053B"/>
    <w:rsid w:val="00BE2DB1"/>
    <w:rsid w:val="00BE783E"/>
    <w:rsid w:val="00BF16E0"/>
    <w:rsid w:val="00BF2D5A"/>
    <w:rsid w:val="00BF3697"/>
    <w:rsid w:val="00C00605"/>
    <w:rsid w:val="00C03599"/>
    <w:rsid w:val="00C10E0B"/>
    <w:rsid w:val="00C14871"/>
    <w:rsid w:val="00C17C05"/>
    <w:rsid w:val="00C22A02"/>
    <w:rsid w:val="00C26708"/>
    <w:rsid w:val="00C36DAD"/>
    <w:rsid w:val="00C53F9D"/>
    <w:rsid w:val="00C549D0"/>
    <w:rsid w:val="00C55B5A"/>
    <w:rsid w:val="00C7358C"/>
    <w:rsid w:val="00C770E5"/>
    <w:rsid w:val="00C8012D"/>
    <w:rsid w:val="00C90569"/>
    <w:rsid w:val="00C94CF5"/>
    <w:rsid w:val="00CB4646"/>
    <w:rsid w:val="00CD0360"/>
    <w:rsid w:val="00CD4CB0"/>
    <w:rsid w:val="00CD7EC6"/>
    <w:rsid w:val="00CF1FA0"/>
    <w:rsid w:val="00D02E87"/>
    <w:rsid w:val="00D12BF9"/>
    <w:rsid w:val="00D14C2E"/>
    <w:rsid w:val="00D22D69"/>
    <w:rsid w:val="00D3292B"/>
    <w:rsid w:val="00D52254"/>
    <w:rsid w:val="00D65FBD"/>
    <w:rsid w:val="00D84CF4"/>
    <w:rsid w:val="00D910C3"/>
    <w:rsid w:val="00D92386"/>
    <w:rsid w:val="00D92D86"/>
    <w:rsid w:val="00D95A86"/>
    <w:rsid w:val="00D97F66"/>
    <w:rsid w:val="00DA0464"/>
    <w:rsid w:val="00DA3720"/>
    <w:rsid w:val="00DA70EA"/>
    <w:rsid w:val="00DB13D6"/>
    <w:rsid w:val="00DC4470"/>
    <w:rsid w:val="00DC5CAD"/>
    <w:rsid w:val="00DC6408"/>
    <w:rsid w:val="00DD6458"/>
    <w:rsid w:val="00E00D64"/>
    <w:rsid w:val="00E20CF1"/>
    <w:rsid w:val="00E26518"/>
    <w:rsid w:val="00E3178B"/>
    <w:rsid w:val="00E409AA"/>
    <w:rsid w:val="00E4436A"/>
    <w:rsid w:val="00E63866"/>
    <w:rsid w:val="00E7233B"/>
    <w:rsid w:val="00E75B76"/>
    <w:rsid w:val="00E86A4C"/>
    <w:rsid w:val="00E979B1"/>
    <w:rsid w:val="00EB2E60"/>
    <w:rsid w:val="00EC00D5"/>
    <w:rsid w:val="00EC1F6A"/>
    <w:rsid w:val="00EC1FB1"/>
    <w:rsid w:val="00EC259E"/>
    <w:rsid w:val="00EC4955"/>
    <w:rsid w:val="00ED3D93"/>
    <w:rsid w:val="00ED4A8D"/>
    <w:rsid w:val="00ED5401"/>
    <w:rsid w:val="00EE4ACB"/>
    <w:rsid w:val="00EF5932"/>
    <w:rsid w:val="00EF61D6"/>
    <w:rsid w:val="00EF67ED"/>
    <w:rsid w:val="00EF68BA"/>
    <w:rsid w:val="00F22FFD"/>
    <w:rsid w:val="00F3046F"/>
    <w:rsid w:val="00F31712"/>
    <w:rsid w:val="00F457B9"/>
    <w:rsid w:val="00F45E4C"/>
    <w:rsid w:val="00F473AE"/>
    <w:rsid w:val="00F5619A"/>
    <w:rsid w:val="00F573C9"/>
    <w:rsid w:val="00F60C67"/>
    <w:rsid w:val="00F750C7"/>
    <w:rsid w:val="00F779F3"/>
    <w:rsid w:val="00F80FE6"/>
    <w:rsid w:val="00F85C63"/>
    <w:rsid w:val="00F9327F"/>
    <w:rsid w:val="00F96495"/>
    <w:rsid w:val="00FA313D"/>
    <w:rsid w:val="00FA3191"/>
    <w:rsid w:val="00FB1BEF"/>
    <w:rsid w:val="00FB2D32"/>
    <w:rsid w:val="00FC5ACE"/>
    <w:rsid w:val="00FD738D"/>
    <w:rsid w:val="00FF41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7E216"/>
  <w15:chartTrackingRefBased/>
  <w15:docId w15:val="{164C9C82-66FB-4C6B-85D1-102A707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B9B"/>
    <w:pPr>
      <w:spacing w:after="80"/>
      <w:jc w:val="both"/>
    </w:pPr>
    <w:rPr>
      <w:sz w:val="18"/>
      <w:lang w:val="en-US" w:eastAsia="en-US"/>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paragraph" w:styleId="BalloonText">
    <w:name w:val="Balloon Text"/>
    <w:basedOn w:val="Normal"/>
    <w:link w:val="BalloonTextChar"/>
    <w:rsid w:val="008E67AF"/>
    <w:pPr>
      <w:spacing w:after="0"/>
    </w:pPr>
    <w:rPr>
      <w:rFonts w:ascii="Segoe UI" w:hAnsi="Segoe UI" w:cs="Segoe UI"/>
      <w:szCs w:val="18"/>
    </w:rPr>
  </w:style>
  <w:style w:type="character" w:customStyle="1" w:styleId="BalloonTextChar">
    <w:name w:val="Balloon Text Char"/>
    <w:link w:val="BalloonText"/>
    <w:rsid w:val="008E67AF"/>
    <w:rPr>
      <w:rFonts w:ascii="Segoe UI" w:hAnsi="Segoe UI" w:cs="Segoe UI"/>
      <w:sz w:val="18"/>
      <w:szCs w:val="18"/>
      <w:lang w:val="en-US" w:eastAsia="en-US"/>
    </w:rPr>
  </w:style>
  <w:style w:type="character" w:customStyle="1" w:styleId="Nerazreenaomemba1">
    <w:name w:val="Nerazrešena omemba1"/>
    <w:uiPriority w:val="99"/>
    <w:semiHidden/>
    <w:unhideWhenUsed/>
    <w:rsid w:val="00D22D69"/>
    <w:rPr>
      <w:color w:val="605E5C"/>
      <w:shd w:val="clear" w:color="auto" w:fill="E1DFDD"/>
    </w:rPr>
  </w:style>
  <w:style w:type="table" w:styleId="TableGrid">
    <w:name w:val="Table Grid"/>
    <w:basedOn w:val="TableNormal"/>
    <w:rsid w:val="00EF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07EB"/>
    <w:rPr>
      <w:color w:val="808080"/>
    </w:rPr>
  </w:style>
  <w:style w:type="character" w:styleId="CommentReference">
    <w:name w:val="annotation reference"/>
    <w:basedOn w:val="DefaultParagraphFont"/>
    <w:rsid w:val="002657E8"/>
    <w:rPr>
      <w:sz w:val="16"/>
      <w:szCs w:val="16"/>
    </w:rPr>
  </w:style>
  <w:style w:type="paragraph" w:styleId="CommentText">
    <w:name w:val="annotation text"/>
    <w:basedOn w:val="Normal"/>
    <w:link w:val="CommentTextChar"/>
    <w:rsid w:val="002657E8"/>
    <w:rPr>
      <w:sz w:val="20"/>
    </w:rPr>
  </w:style>
  <w:style w:type="character" w:customStyle="1" w:styleId="CommentTextChar">
    <w:name w:val="Comment Text Char"/>
    <w:basedOn w:val="DefaultParagraphFont"/>
    <w:link w:val="CommentText"/>
    <w:rsid w:val="002657E8"/>
    <w:rPr>
      <w:lang w:val="en-US" w:eastAsia="en-US"/>
    </w:rPr>
  </w:style>
  <w:style w:type="paragraph" w:styleId="CommentSubject">
    <w:name w:val="annotation subject"/>
    <w:basedOn w:val="CommentText"/>
    <w:next w:val="CommentText"/>
    <w:link w:val="CommentSubjectChar"/>
    <w:rsid w:val="002657E8"/>
    <w:rPr>
      <w:b/>
      <w:bCs/>
    </w:rPr>
  </w:style>
  <w:style w:type="character" w:customStyle="1" w:styleId="CommentSubjectChar">
    <w:name w:val="Comment Subject Char"/>
    <w:basedOn w:val="CommentTextChar"/>
    <w:link w:val="CommentSubject"/>
    <w:rsid w:val="002657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5760">
      <w:bodyDiv w:val="1"/>
      <w:marLeft w:val="0"/>
      <w:marRight w:val="0"/>
      <w:marTop w:val="0"/>
      <w:marBottom w:val="0"/>
      <w:divBdr>
        <w:top w:val="none" w:sz="0" w:space="0" w:color="auto"/>
        <w:left w:val="none" w:sz="0" w:space="0" w:color="auto"/>
        <w:bottom w:val="none" w:sz="0" w:space="0" w:color="auto"/>
        <w:right w:val="none" w:sz="0" w:space="0" w:color="auto"/>
      </w:divBdr>
    </w:div>
    <w:div w:id="259486169">
      <w:bodyDiv w:val="1"/>
      <w:marLeft w:val="0"/>
      <w:marRight w:val="0"/>
      <w:marTop w:val="0"/>
      <w:marBottom w:val="0"/>
      <w:divBdr>
        <w:top w:val="none" w:sz="0" w:space="0" w:color="auto"/>
        <w:left w:val="none" w:sz="0" w:space="0" w:color="auto"/>
        <w:bottom w:val="none" w:sz="0" w:space="0" w:color="auto"/>
        <w:right w:val="none" w:sz="0" w:space="0" w:color="auto"/>
      </w:divBdr>
      <w:divsChild>
        <w:div w:id="217279833">
          <w:marLeft w:val="116"/>
          <w:marRight w:val="116"/>
          <w:marTop w:val="0"/>
          <w:marBottom w:val="0"/>
          <w:divBdr>
            <w:top w:val="none" w:sz="0" w:space="0" w:color="auto"/>
            <w:left w:val="none" w:sz="0" w:space="0" w:color="auto"/>
            <w:bottom w:val="none" w:sz="0" w:space="0" w:color="auto"/>
            <w:right w:val="none" w:sz="0" w:space="0" w:color="auto"/>
          </w:divBdr>
          <w:divsChild>
            <w:div w:id="1106383944">
              <w:marLeft w:val="0"/>
              <w:marRight w:val="0"/>
              <w:marTop w:val="0"/>
              <w:marBottom w:val="0"/>
              <w:divBdr>
                <w:top w:val="none" w:sz="0" w:space="0" w:color="auto"/>
                <w:left w:val="none" w:sz="0" w:space="0" w:color="auto"/>
                <w:bottom w:val="none" w:sz="0" w:space="0" w:color="auto"/>
                <w:right w:val="none" w:sz="0" w:space="0" w:color="auto"/>
              </w:divBdr>
              <w:divsChild>
                <w:div w:id="776486234">
                  <w:marLeft w:val="105"/>
                  <w:marRight w:val="105"/>
                  <w:marTop w:val="0"/>
                  <w:marBottom w:val="0"/>
                  <w:divBdr>
                    <w:top w:val="none" w:sz="0" w:space="0" w:color="auto"/>
                    <w:left w:val="none" w:sz="0" w:space="0" w:color="auto"/>
                    <w:bottom w:val="none" w:sz="0" w:space="0" w:color="auto"/>
                    <w:right w:val="none" w:sz="0" w:space="0" w:color="auto"/>
                  </w:divBdr>
                  <w:divsChild>
                    <w:div w:id="1024357839">
                      <w:marLeft w:val="0"/>
                      <w:marRight w:val="0"/>
                      <w:marTop w:val="0"/>
                      <w:marBottom w:val="0"/>
                      <w:divBdr>
                        <w:top w:val="none" w:sz="0" w:space="0" w:color="auto"/>
                        <w:left w:val="none" w:sz="0" w:space="0" w:color="auto"/>
                        <w:bottom w:val="none" w:sz="0" w:space="0" w:color="auto"/>
                        <w:right w:val="none" w:sz="0" w:space="0" w:color="auto"/>
                      </w:divBdr>
                      <w:divsChild>
                        <w:div w:id="782574316">
                          <w:marLeft w:val="0"/>
                          <w:marRight w:val="0"/>
                          <w:marTop w:val="0"/>
                          <w:marBottom w:val="0"/>
                          <w:divBdr>
                            <w:top w:val="none" w:sz="0" w:space="0" w:color="auto"/>
                            <w:left w:val="none" w:sz="0" w:space="0" w:color="auto"/>
                            <w:bottom w:val="none" w:sz="0" w:space="0" w:color="auto"/>
                            <w:right w:val="none" w:sz="0" w:space="0" w:color="auto"/>
                          </w:divBdr>
                          <w:divsChild>
                            <w:div w:id="1439594909">
                              <w:marLeft w:val="0"/>
                              <w:marRight w:val="0"/>
                              <w:marTop w:val="0"/>
                              <w:marBottom w:val="0"/>
                              <w:divBdr>
                                <w:top w:val="none" w:sz="0" w:space="0" w:color="auto"/>
                                <w:left w:val="none" w:sz="0" w:space="0" w:color="auto"/>
                                <w:bottom w:val="none" w:sz="0" w:space="0" w:color="auto"/>
                                <w:right w:val="none" w:sz="0" w:space="0" w:color="auto"/>
                              </w:divBdr>
                              <w:divsChild>
                                <w:div w:id="794255274">
                                  <w:marLeft w:val="0"/>
                                  <w:marRight w:val="0"/>
                                  <w:marTop w:val="0"/>
                                  <w:marBottom w:val="0"/>
                                  <w:divBdr>
                                    <w:top w:val="none" w:sz="0" w:space="0" w:color="auto"/>
                                    <w:left w:val="none" w:sz="0" w:space="0" w:color="auto"/>
                                    <w:bottom w:val="none" w:sz="0" w:space="0" w:color="auto"/>
                                    <w:right w:val="none" w:sz="0" w:space="0" w:color="auto"/>
                                  </w:divBdr>
                                  <w:divsChild>
                                    <w:div w:id="656492700">
                                      <w:marLeft w:val="0"/>
                                      <w:marRight w:val="0"/>
                                      <w:marTop w:val="0"/>
                                      <w:marBottom w:val="0"/>
                                      <w:divBdr>
                                        <w:top w:val="none" w:sz="0" w:space="0" w:color="auto"/>
                                        <w:left w:val="none" w:sz="0" w:space="0" w:color="auto"/>
                                        <w:bottom w:val="none" w:sz="0" w:space="0" w:color="auto"/>
                                        <w:right w:val="none" w:sz="0" w:space="0" w:color="auto"/>
                                      </w:divBdr>
                                    </w:div>
                                    <w:div w:id="1840995809">
                                      <w:marLeft w:val="0"/>
                                      <w:marRight w:val="0"/>
                                      <w:marTop w:val="0"/>
                                      <w:marBottom w:val="0"/>
                                      <w:divBdr>
                                        <w:top w:val="none" w:sz="0" w:space="0" w:color="auto"/>
                                        <w:left w:val="none" w:sz="0" w:space="0" w:color="auto"/>
                                        <w:bottom w:val="none" w:sz="0" w:space="0" w:color="auto"/>
                                        <w:right w:val="none" w:sz="0" w:space="0" w:color="auto"/>
                                      </w:divBdr>
                                    </w:div>
                                  </w:divsChild>
                                </w:div>
                                <w:div w:id="1390574186">
                                  <w:marLeft w:val="0"/>
                                  <w:marRight w:val="0"/>
                                  <w:marTop w:val="0"/>
                                  <w:marBottom w:val="0"/>
                                  <w:divBdr>
                                    <w:top w:val="none" w:sz="0" w:space="0" w:color="auto"/>
                                    <w:left w:val="none" w:sz="0" w:space="0" w:color="auto"/>
                                    <w:bottom w:val="none" w:sz="0" w:space="0" w:color="auto"/>
                                    <w:right w:val="none" w:sz="0" w:space="0" w:color="auto"/>
                                  </w:divBdr>
                                  <w:divsChild>
                                    <w:div w:id="1825780021">
                                      <w:marLeft w:val="0"/>
                                      <w:marRight w:val="0"/>
                                      <w:marTop w:val="0"/>
                                      <w:marBottom w:val="0"/>
                                      <w:divBdr>
                                        <w:top w:val="none" w:sz="0" w:space="0" w:color="auto"/>
                                        <w:left w:val="none" w:sz="0" w:space="0" w:color="auto"/>
                                        <w:bottom w:val="none" w:sz="0" w:space="0" w:color="auto"/>
                                        <w:right w:val="none" w:sz="0" w:space="0" w:color="auto"/>
                                      </w:divBdr>
                                      <w:divsChild>
                                        <w:div w:id="546719265">
                                          <w:marLeft w:val="0"/>
                                          <w:marRight w:val="0"/>
                                          <w:marTop w:val="0"/>
                                          <w:marBottom w:val="0"/>
                                          <w:divBdr>
                                            <w:top w:val="none" w:sz="0" w:space="0" w:color="auto"/>
                                            <w:left w:val="none" w:sz="0" w:space="0" w:color="auto"/>
                                            <w:bottom w:val="none" w:sz="0" w:space="0" w:color="auto"/>
                                            <w:right w:val="none" w:sz="0" w:space="0" w:color="auto"/>
                                          </w:divBdr>
                                        </w:div>
                                        <w:div w:id="6908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585343">
          <w:marLeft w:val="116"/>
          <w:marRight w:val="116"/>
          <w:marTop w:val="0"/>
          <w:marBottom w:val="0"/>
          <w:divBdr>
            <w:top w:val="none" w:sz="0" w:space="0" w:color="auto"/>
            <w:left w:val="none" w:sz="0" w:space="0" w:color="auto"/>
            <w:bottom w:val="none" w:sz="0" w:space="0" w:color="auto"/>
            <w:right w:val="none" w:sz="0" w:space="0" w:color="auto"/>
          </w:divBdr>
          <w:divsChild>
            <w:div w:id="1526216836">
              <w:marLeft w:val="0"/>
              <w:marRight w:val="0"/>
              <w:marTop w:val="0"/>
              <w:marBottom w:val="0"/>
              <w:divBdr>
                <w:top w:val="none" w:sz="0" w:space="0" w:color="auto"/>
                <w:left w:val="none" w:sz="0" w:space="0" w:color="auto"/>
                <w:bottom w:val="none" w:sz="0" w:space="0" w:color="auto"/>
                <w:right w:val="none" w:sz="0" w:space="0" w:color="auto"/>
              </w:divBdr>
              <w:divsChild>
                <w:div w:id="1557009018">
                  <w:marLeft w:val="0"/>
                  <w:marRight w:val="0"/>
                  <w:marTop w:val="0"/>
                  <w:marBottom w:val="0"/>
                  <w:divBdr>
                    <w:top w:val="none" w:sz="0" w:space="0" w:color="auto"/>
                    <w:left w:val="none" w:sz="0" w:space="0" w:color="auto"/>
                    <w:bottom w:val="none" w:sz="0" w:space="0" w:color="auto"/>
                    <w:right w:val="none" w:sz="0" w:space="0" w:color="auto"/>
                  </w:divBdr>
                  <w:divsChild>
                    <w:div w:id="107625735">
                      <w:marLeft w:val="0"/>
                      <w:marRight w:val="0"/>
                      <w:marTop w:val="0"/>
                      <w:marBottom w:val="0"/>
                      <w:divBdr>
                        <w:top w:val="none" w:sz="0" w:space="0" w:color="auto"/>
                        <w:left w:val="none" w:sz="0" w:space="0" w:color="auto"/>
                        <w:bottom w:val="none" w:sz="0" w:space="0" w:color="auto"/>
                        <w:right w:val="none" w:sz="0" w:space="0" w:color="auto"/>
                      </w:divBdr>
                      <w:divsChild>
                        <w:div w:id="3654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93758">
      <w:bodyDiv w:val="1"/>
      <w:marLeft w:val="0"/>
      <w:marRight w:val="0"/>
      <w:marTop w:val="0"/>
      <w:marBottom w:val="0"/>
      <w:divBdr>
        <w:top w:val="none" w:sz="0" w:space="0" w:color="auto"/>
        <w:left w:val="none" w:sz="0" w:space="0" w:color="auto"/>
        <w:bottom w:val="none" w:sz="0" w:space="0" w:color="auto"/>
        <w:right w:val="none" w:sz="0" w:space="0" w:color="auto"/>
      </w:divBdr>
    </w:div>
    <w:div w:id="669798671">
      <w:bodyDiv w:val="1"/>
      <w:marLeft w:val="0"/>
      <w:marRight w:val="0"/>
      <w:marTop w:val="0"/>
      <w:marBottom w:val="0"/>
      <w:divBdr>
        <w:top w:val="none" w:sz="0" w:space="0" w:color="auto"/>
        <w:left w:val="none" w:sz="0" w:space="0" w:color="auto"/>
        <w:bottom w:val="none" w:sz="0" w:space="0" w:color="auto"/>
        <w:right w:val="none" w:sz="0" w:space="0" w:color="auto"/>
      </w:divBdr>
    </w:div>
    <w:div w:id="878933444">
      <w:bodyDiv w:val="1"/>
      <w:marLeft w:val="0"/>
      <w:marRight w:val="0"/>
      <w:marTop w:val="0"/>
      <w:marBottom w:val="0"/>
      <w:divBdr>
        <w:top w:val="none" w:sz="0" w:space="0" w:color="auto"/>
        <w:left w:val="none" w:sz="0" w:space="0" w:color="auto"/>
        <w:bottom w:val="none" w:sz="0" w:space="0" w:color="auto"/>
        <w:right w:val="none" w:sz="0" w:space="0" w:color="auto"/>
      </w:divBdr>
    </w:div>
    <w:div w:id="896936214">
      <w:bodyDiv w:val="1"/>
      <w:marLeft w:val="0"/>
      <w:marRight w:val="0"/>
      <w:marTop w:val="0"/>
      <w:marBottom w:val="0"/>
      <w:divBdr>
        <w:top w:val="none" w:sz="0" w:space="0" w:color="auto"/>
        <w:left w:val="none" w:sz="0" w:space="0" w:color="auto"/>
        <w:bottom w:val="none" w:sz="0" w:space="0" w:color="auto"/>
        <w:right w:val="none" w:sz="0" w:space="0" w:color="auto"/>
      </w:divBdr>
    </w:div>
    <w:div w:id="1445925377">
      <w:bodyDiv w:val="1"/>
      <w:marLeft w:val="0"/>
      <w:marRight w:val="0"/>
      <w:marTop w:val="0"/>
      <w:marBottom w:val="0"/>
      <w:divBdr>
        <w:top w:val="none" w:sz="0" w:space="0" w:color="auto"/>
        <w:left w:val="none" w:sz="0" w:space="0" w:color="auto"/>
        <w:bottom w:val="none" w:sz="0" w:space="0" w:color="auto"/>
        <w:right w:val="none" w:sz="0" w:space="0" w:color="auto"/>
      </w:divBdr>
    </w:div>
    <w:div w:id="1462382712">
      <w:bodyDiv w:val="1"/>
      <w:marLeft w:val="0"/>
      <w:marRight w:val="0"/>
      <w:marTop w:val="0"/>
      <w:marBottom w:val="0"/>
      <w:divBdr>
        <w:top w:val="none" w:sz="0" w:space="0" w:color="auto"/>
        <w:left w:val="none" w:sz="0" w:space="0" w:color="auto"/>
        <w:bottom w:val="none" w:sz="0" w:space="0" w:color="auto"/>
        <w:right w:val="none" w:sz="0" w:space="0" w:color="auto"/>
      </w:divBdr>
    </w:div>
    <w:div w:id="1615331399">
      <w:bodyDiv w:val="1"/>
      <w:marLeft w:val="0"/>
      <w:marRight w:val="0"/>
      <w:marTop w:val="0"/>
      <w:marBottom w:val="0"/>
      <w:divBdr>
        <w:top w:val="none" w:sz="0" w:space="0" w:color="auto"/>
        <w:left w:val="none" w:sz="0" w:space="0" w:color="auto"/>
        <w:bottom w:val="none" w:sz="0" w:space="0" w:color="auto"/>
        <w:right w:val="none" w:sz="0" w:space="0" w:color="auto"/>
      </w:divBdr>
    </w:div>
    <w:div w:id="1824734052">
      <w:bodyDiv w:val="1"/>
      <w:marLeft w:val="0"/>
      <w:marRight w:val="0"/>
      <w:marTop w:val="0"/>
      <w:marBottom w:val="0"/>
      <w:divBdr>
        <w:top w:val="none" w:sz="0" w:space="0" w:color="auto"/>
        <w:left w:val="none" w:sz="0" w:space="0" w:color="auto"/>
        <w:bottom w:val="none" w:sz="0" w:space="0" w:color="auto"/>
        <w:right w:val="none" w:sz="0" w:space="0" w:color="auto"/>
      </w:divBdr>
      <w:divsChild>
        <w:div w:id="59912759">
          <w:marLeft w:val="0"/>
          <w:marRight w:val="0"/>
          <w:marTop w:val="0"/>
          <w:marBottom w:val="240"/>
          <w:divBdr>
            <w:top w:val="none" w:sz="0" w:space="0" w:color="auto"/>
            <w:left w:val="none" w:sz="0" w:space="0" w:color="auto"/>
            <w:bottom w:val="none" w:sz="0" w:space="0" w:color="auto"/>
            <w:right w:val="none" w:sz="0" w:space="0" w:color="auto"/>
          </w:divBdr>
          <w:divsChild>
            <w:div w:id="183180307">
              <w:marLeft w:val="0"/>
              <w:marRight w:val="0"/>
              <w:marTop w:val="0"/>
              <w:marBottom w:val="0"/>
              <w:divBdr>
                <w:top w:val="none" w:sz="0" w:space="0" w:color="auto"/>
                <w:left w:val="none" w:sz="0" w:space="0" w:color="auto"/>
                <w:bottom w:val="none" w:sz="0" w:space="0" w:color="auto"/>
                <w:right w:val="none" w:sz="0" w:space="0" w:color="auto"/>
              </w:divBdr>
              <w:divsChild>
                <w:div w:id="1556773660">
                  <w:marLeft w:val="0"/>
                  <w:marRight w:val="0"/>
                  <w:marTop w:val="0"/>
                  <w:marBottom w:val="0"/>
                  <w:divBdr>
                    <w:top w:val="none" w:sz="0" w:space="0" w:color="auto"/>
                    <w:left w:val="none" w:sz="0" w:space="0" w:color="auto"/>
                    <w:bottom w:val="none" w:sz="0" w:space="0" w:color="auto"/>
                    <w:right w:val="none" w:sz="0" w:space="0" w:color="auto"/>
                  </w:divBdr>
                  <w:divsChild>
                    <w:div w:id="596328158">
                      <w:marLeft w:val="0"/>
                      <w:marRight w:val="0"/>
                      <w:marTop w:val="0"/>
                      <w:marBottom w:val="0"/>
                      <w:divBdr>
                        <w:top w:val="none" w:sz="0" w:space="0" w:color="auto"/>
                        <w:left w:val="none" w:sz="0" w:space="0" w:color="auto"/>
                        <w:bottom w:val="none" w:sz="0" w:space="0" w:color="auto"/>
                        <w:right w:val="none" w:sz="0" w:space="0" w:color="auto"/>
                      </w:divBdr>
                      <w:divsChild>
                        <w:div w:id="211036863">
                          <w:marLeft w:val="0"/>
                          <w:marRight w:val="0"/>
                          <w:marTop w:val="0"/>
                          <w:marBottom w:val="0"/>
                          <w:divBdr>
                            <w:top w:val="none" w:sz="0" w:space="0" w:color="auto"/>
                            <w:left w:val="none" w:sz="0" w:space="0" w:color="auto"/>
                            <w:bottom w:val="none" w:sz="0" w:space="0" w:color="auto"/>
                            <w:right w:val="none" w:sz="0" w:space="0" w:color="auto"/>
                          </w:divBdr>
                          <w:divsChild>
                            <w:div w:id="4197150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1801087">
          <w:marLeft w:val="0"/>
          <w:marRight w:val="0"/>
          <w:marTop w:val="0"/>
          <w:marBottom w:val="240"/>
          <w:divBdr>
            <w:top w:val="none" w:sz="0" w:space="0" w:color="auto"/>
            <w:left w:val="none" w:sz="0" w:space="0" w:color="auto"/>
            <w:bottom w:val="none" w:sz="0" w:space="0" w:color="auto"/>
            <w:right w:val="none" w:sz="0" w:space="0" w:color="auto"/>
          </w:divBdr>
          <w:divsChild>
            <w:div w:id="1135023212">
              <w:marLeft w:val="0"/>
              <w:marRight w:val="0"/>
              <w:marTop w:val="0"/>
              <w:marBottom w:val="0"/>
              <w:divBdr>
                <w:top w:val="none" w:sz="0" w:space="0" w:color="auto"/>
                <w:left w:val="none" w:sz="0" w:space="0" w:color="auto"/>
                <w:bottom w:val="none" w:sz="0" w:space="0" w:color="auto"/>
                <w:right w:val="none" w:sz="0" w:space="0" w:color="auto"/>
              </w:divBdr>
              <w:divsChild>
                <w:div w:id="1928617188">
                  <w:marLeft w:val="0"/>
                  <w:marRight w:val="0"/>
                  <w:marTop w:val="0"/>
                  <w:marBottom w:val="0"/>
                  <w:divBdr>
                    <w:top w:val="none" w:sz="0" w:space="0" w:color="auto"/>
                    <w:left w:val="none" w:sz="0" w:space="0" w:color="auto"/>
                    <w:bottom w:val="none" w:sz="0" w:space="0" w:color="auto"/>
                    <w:right w:val="none" w:sz="0" w:space="0" w:color="auto"/>
                  </w:divBdr>
                  <w:divsChild>
                    <w:div w:id="1809667785">
                      <w:marLeft w:val="0"/>
                      <w:marRight w:val="0"/>
                      <w:marTop w:val="0"/>
                      <w:marBottom w:val="0"/>
                      <w:divBdr>
                        <w:top w:val="none" w:sz="0" w:space="0" w:color="auto"/>
                        <w:left w:val="none" w:sz="0" w:space="0" w:color="auto"/>
                        <w:bottom w:val="none" w:sz="0" w:space="0" w:color="auto"/>
                        <w:right w:val="none" w:sz="0" w:space="0" w:color="auto"/>
                      </w:divBdr>
                      <w:divsChild>
                        <w:div w:id="186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licyuncertainty.com/" TargetMode="External"/><Relationship Id="rId18" Type="http://schemas.openxmlformats.org/officeDocument/2006/relationships/hyperlink" Target="http://www.policyuncertainty.com/" TargetMode="External"/><Relationship Id="rId26" Type="http://schemas.openxmlformats.org/officeDocument/2006/relationships/image" Target="media/image12.png"/><Relationship Id="rId39" Type="http://schemas.openxmlformats.org/officeDocument/2006/relationships/hyperlink" Target="https://doi.org/10.1111/twec.12865" TargetMode="External"/><Relationship Id="rId21" Type="http://schemas.openxmlformats.org/officeDocument/2006/relationships/image" Target="media/image7.png"/><Relationship Id="rId34" Type="http://schemas.openxmlformats.org/officeDocument/2006/relationships/hyperlink" Target="https://doi.org/10.1093/qje/qjw02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hyperlink" Target="https://doi.org/10.1093/qje/qjw0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yuncertainty.com/" TargetMode="External"/><Relationship Id="rId24" Type="http://schemas.openxmlformats.org/officeDocument/2006/relationships/image" Target="media/image10.png"/><Relationship Id="rId32" Type="http://schemas.openxmlformats.org/officeDocument/2006/relationships/hyperlink" Target="https://doi.org/10.1111/twec.12865" TargetMode="External"/><Relationship Id="rId37" Type="http://schemas.openxmlformats.org/officeDocument/2006/relationships/hyperlink" Target="https://doi.org/10.1111/obes.12323" TargetMode="External"/><Relationship Id="rId40" Type="http://schemas.openxmlformats.org/officeDocument/2006/relationships/hyperlink" Target="https://doi.org/10.1093/qje/qjw024" TargetMode="External"/><Relationship Id="rId5" Type="http://schemas.openxmlformats.org/officeDocument/2006/relationships/webSettings" Target="webSettings.xml"/><Relationship Id="rId15" Type="http://schemas.openxmlformats.org/officeDocument/2006/relationships/hyperlink" Target="http://www.policyuncertainty.com/"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doi.org/10.1093/qje/qjw024" TargetMode="External"/><Relationship Id="rId10" Type="http://schemas.openxmlformats.org/officeDocument/2006/relationships/image" Target="media/image2.png"/><Relationship Id="rId19" Type="http://schemas.openxmlformats.org/officeDocument/2006/relationships/hyperlink" Target="http://www.policyuncertainty.com/" TargetMode="External"/><Relationship Id="rId31" Type="http://schemas.openxmlformats.org/officeDocument/2006/relationships/hyperlink" Target="https://www.otago.ac.nz/economics/otago70966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doi.org/10.1093/qje/qjw024" TargetMode="External"/><Relationship Id="rId35" Type="http://schemas.openxmlformats.org/officeDocument/2006/relationships/hyperlink" Target="https://doi.org/10.1093/qje/qjw024"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olicyuncertainty.com/" TargetMode="External"/><Relationship Id="rId25" Type="http://schemas.openxmlformats.org/officeDocument/2006/relationships/image" Target="media/image11.png"/><Relationship Id="rId33" Type="http://schemas.openxmlformats.org/officeDocument/2006/relationships/hyperlink" Target="https://doi.org/10.1111/obes.12323" TargetMode="External"/><Relationship Id="rId38" Type="http://schemas.openxmlformats.org/officeDocument/2006/relationships/hyperlink" Target="https://www.otago.ac.nz/economics/otago709661.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C799-5551-4307-90D3-2FC172D5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2106</Words>
  <Characters>15026</Characters>
  <Application>Microsoft Office Word</Application>
  <DocSecurity>0</DocSecurity>
  <Lines>125</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17098</CharactersWithSpaces>
  <SharedDoc>false</SharedDoc>
  <HLinks>
    <vt:vector size="36" baseType="variant">
      <vt:variant>
        <vt:i4>4718604</vt:i4>
      </vt:variant>
      <vt:variant>
        <vt:i4>15</vt:i4>
      </vt:variant>
      <vt:variant>
        <vt:i4>0</vt:i4>
      </vt:variant>
      <vt:variant>
        <vt:i4>5</vt:i4>
      </vt:variant>
      <vt:variant>
        <vt:lpwstr>http://www.policyuncertainty.com/</vt:lpwstr>
      </vt:variant>
      <vt:variant>
        <vt:lpwstr/>
      </vt:variant>
      <vt:variant>
        <vt:i4>4718604</vt:i4>
      </vt:variant>
      <vt:variant>
        <vt:i4>12</vt:i4>
      </vt:variant>
      <vt:variant>
        <vt:i4>0</vt:i4>
      </vt:variant>
      <vt:variant>
        <vt:i4>5</vt:i4>
      </vt:variant>
      <vt:variant>
        <vt:lpwstr>http://www.policyuncertainty.com/</vt:lpwstr>
      </vt:variant>
      <vt:variant>
        <vt:lpwstr/>
      </vt:variant>
      <vt:variant>
        <vt:i4>4718604</vt:i4>
      </vt:variant>
      <vt:variant>
        <vt:i4>9</vt:i4>
      </vt:variant>
      <vt:variant>
        <vt:i4>0</vt:i4>
      </vt:variant>
      <vt:variant>
        <vt:i4>5</vt:i4>
      </vt:variant>
      <vt:variant>
        <vt:lpwstr>http://www.policyuncertainty.com/</vt:lpwstr>
      </vt:variant>
      <vt:variant>
        <vt:lpwstr/>
      </vt:variant>
      <vt:variant>
        <vt:i4>4718604</vt:i4>
      </vt:variant>
      <vt:variant>
        <vt:i4>6</vt:i4>
      </vt:variant>
      <vt:variant>
        <vt:i4>0</vt:i4>
      </vt:variant>
      <vt:variant>
        <vt:i4>5</vt:i4>
      </vt:variant>
      <vt:variant>
        <vt:lpwstr>http://www.policyuncertainty.com/</vt:lpwstr>
      </vt:variant>
      <vt:variant>
        <vt:lpwstr/>
      </vt:variant>
      <vt:variant>
        <vt:i4>4718604</vt:i4>
      </vt:variant>
      <vt:variant>
        <vt:i4>3</vt:i4>
      </vt:variant>
      <vt:variant>
        <vt:i4>0</vt:i4>
      </vt:variant>
      <vt:variant>
        <vt:i4>5</vt:i4>
      </vt:variant>
      <vt:variant>
        <vt:lpwstr>http://www.policyuncertainty.com/</vt:lpwstr>
      </vt:variant>
      <vt:variant>
        <vt:lpwstr/>
      </vt:variant>
      <vt:variant>
        <vt:i4>4718604</vt:i4>
      </vt:variant>
      <vt:variant>
        <vt:i4>0</vt:i4>
      </vt:variant>
      <vt:variant>
        <vt:i4>0</vt:i4>
      </vt:variant>
      <vt:variant>
        <vt:i4>5</vt:i4>
      </vt:variant>
      <vt:variant>
        <vt:lpwstr>http://www.policyuncertainty.com/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lana</cp:lastModifiedBy>
  <cp:revision>2</cp:revision>
  <cp:lastPrinted>2019-09-11T06:03:00Z</cp:lastPrinted>
  <dcterms:created xsi:type="dcterms:W3CDTF">2019-10-02T11:06:00Z</dcterms:created>
  <dcterms:modified xsi:type="dcterms:W3CDTF">2019-10-02T11:06:00Z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